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FEE4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73BCA3">
            <w:pPr>
              <w:framePr w:wrap="notBeside" w:vAnchor="page" w:hAnchor="page" w:x="1372" w:y="655"/>
              <w:widowControl w:val="0"/>
              <w:tabs>
                <w:tab w:val="clear" w:pos="4201"/>
                <w:tab w:val="clear" w:pos="9298"/>
              </w:tabs>
              <w:autoSpaceDE/>
              <w:autoSpaceDN/>
              <w:snapToGrid w:val="0"/>
              <w:ind w:firstLine="0" w:firstLineChars="0"/>
              <w:jc w:val="left"/>
              <w:rPr>
                <w:rFonts w:ascii="黑体" w:hAnsi="黑体" w:eastAsia="黑体"/>
                <w:kern w:val="2"/>
                <w:szCs w:val="21"/>
              </w:rPr>
            </w:pPr>
            <w:bookmarkStart w:id="0" w:name="SectionMark0"/>
            <w:bookmarkStart w:id="1" w:name="_Toc509328252"/>
            <w:bookmarkStart w:id="2" w:name="_Toc443840937"/>
            <w:r>
              <w:rPr>
                <w:rFonts w:ascii="Times New Roman" w:hAnsi="Calibri" w:eastAsia="黑体"/>
                <w:kern w:val="2"/>
                <w:szCs w:val="21"/>
              </w:rPr>
              <w:t>ICS</w:t>
            </w:r>
            <w:r>
              <w:rPr>
                <w:rFonts w:ascii="黑体" w:hAnsi="黑体" w:eastAsia="黑体"/>
                <w:kern w:val="2"/>
                <w:szCs w:val="21"/>
              </w:rPr>
              <w:t xml:space="preserve">  </w:t>
            </w:r>
          </w:p>
        </w:tc>
        <w:tc>
          <w:tcPr>
            <w:tcW w:w="8855" w:type="dxa"/>
          </w:tcPr>
          <w:p w14:paraId="42757DD1">
            <w:pPr>
              <w:framePr w:wrap="notBeside" w:vAnchor="page" w:hAnchor="page" w:x="1372" w:y="655"/>
              <w:widowControl w:val="0"/>
              <w:tabs>
                <w:tab w:val="clear" w:pos="4201"/>
                <w:tab w:val="clear" w:pos="9298"/>
              </w:tabs>
              <w:autoSpaceDE/>
              <w:autoSpaceDN/>
              <w:snapToGrid w:val="0"/>
              <w:ind w:firstLine="0" w:firstLineChars="0"/>
              <w:rPr>
                <w:rFonts w:ascii="黑体" w:hAnsi="黑体" w:eastAsia="黑体"/>
                <w:kern w:val="2"/>
                <w:szCs w:val="21"/>
              </w:rPr>
            </w:pPr>
            <w:r>
              <w:rPr>
                <w:rFonts w:ascii="黑体" w:hAnsi="黑体" w:eastAsia="黑体"/>
                <w:kern w:val="2"/>
                <w:szCs w:val="21"/>
              </w:rPr>
              <w:fldChar w:fldCharType="begin">
                <w:ffData>
                  <w:name w:val="ICS"/>
                  <w:enabled/>
                  <w:calcOnExit w:val="0"/>
                  <w:textInput>
                    <w:default w:val="11.040"/>
                  </w:textInput>
                </w:ffData>
              </w:fldChar>
            </w:r>
            <w:bookmarkStart w:id="3" w:name="ICS"/>
            <w:r>
              <w:rPr>
                <w:rFonts w:ascii="黑体" w:hAnsi="黑体" w:eastAsia="黑体"/>
                <w:kern w:val="2"/>
                <w:szCs w:val="21"/>
              </w:rPr>
              <w:instrText xml:space="preserve"> FORMTEXT </w:instrText>
            </w:r>
            <w:r>
              <w:rPr>
                <w:rFonts w:ascii="黑体" w:hAnsi="黑体" w:eastAsia="黑体"/>
                <w:kern w:val="2"/>
                <w:szCs w:val="21"/>
              </w:rPr>
              <w:fldChar w:fldCharType="separate"/>
            </w:r>
            <w:r>
              <w:rPr>
                <w:rFonts w:ascii="黑体" w:hAnsi="黑体" w:eastAsia="黑体"/>
                <w:kern w:val="2"/>
                <w:szCs w:val="21"/>
              </w:rPr>
              <w:t>11.040</w:t>
            </w:r>
            <w:r>
              <w:rPr>
                <w:rFonts w:ascii="黑体" w:hAnsi="黑体" w:eastAsia="黑体"/>
                <w:kern w:val="2"/>
                <w:szCs w:val="21"/>
              </w:rPr>
              <w:fldChar w:fldCharType="end"/>
            </w:r>
            <w:bookmarkEnd w:id="3"/>
          </w:p>
        </w:tc>
      </w:tr>
      <w:tr w14:paraId="37840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00220C">
            <w:pPr>
              <w:framePr w:wrap="notBeside" w:vAnchor="page" w:hAnchor="page" w:x="1372" w:y="655"/>
              <w:widowControl w:val="0"/>
              <w:tabs>
                <w:tab w:val="clear" w:pos="4201"/>
                <w:tab w:val="clear" w:pos="9298"/>
              </w:tabs>
              <w:autoSpaceDE/>
              <w:autoSpaceDN/>
              <w:snapToGrid w:val="0"/>
              <w:spacing w:before="40"/>
              <w:ind w:firstLine="0" w:firstLineChars="0"/>
              <w:jc w:val="left"/>
              <w:rPr>
                <w:rFonts w:ascii="黑体" w:hAnsi="黑体" w:eastAsia="黑体"/>
                <w:kern w:val="2"/>
                <w:szCs w:val="21"/>
              </w:rPr>
            </w:pPr>
            <w:r>
              <w:rPr>
                <w:rFonts w:ascii="Times New Roman" w:hAnsi="Calibri" w:eastAsia="黑体"/>
                <w:kern w:val="2"/>
                <w:szCs w:val="21"/>
              </w:rPr>
              <w:t>CCS</w:t>
            </w:r>
            <w:r>
              <w:rPr>
                <w:rFonts w:ascii="黑体" w:hAnsi="黑体" w:eastAsia="黑体"/>
                <w:kern w:val="2"/>
                <w:szCs w:val="21"/>
              </w:rPr>
              <w:t xml:space="preserve"> </w:t>
            </w:r>
          </w:p>
        </w:tc>
        <w:tc>
          <w:tcPr>
            <w:tcW w:w="8855" w:type="dxa"/>
          </w:tcPr>
          <w:tbl>
            <w:tblPr>
              <w:tblStyle w:val="72"/>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0523B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A4DA922">
                  <w:pPr>
                    <w:framePr w:wrap="notBeside" w:vAnchor="page" w:hAnchor="page" w:x="1372" w:y="655"/>
                    <w:shd w:val="solid" w:color="FFFFFF" w:fill="FFFFFF"/>
                    <w:tabs>
                      <w:tab w:val="clear" w:pos="4201"/>
                      <w:tab w:val="clear" w:pos="9298"/>
                    </w:tabs>
                    <w:autoSpaceDE/>
                    <w:autoSpaceDN/>
                    <w:spacing w:line="0" w:lineRule="atLeast"/>
                    <w:ind w:left="420" w:right="624" w:firstLine="0" w:firstLineChars="0"/>
                    <w:jc w:val="right"/>
                    <w:rPr>
                      <w:rFonts w:hAnsi="宋体"/>
                      <w:b/>
                      <w:w w:val="130"/>
                      <w:sz w:val="28"/>
                      <w:szCs w:val="28"/>
                    </w:rPr>
                  </w:pPr>
                  <w:r>
                    <w:rPr>
                      <w:rFonts w:ascii="Times New Roman" w:hAnsi="Calibri"/>
                      <w:b/>
                      <w:w w:val="130"/>
                      <w:szCs w:val="21"/>
                    </w:rPr>
                    <w:t xml:space="preserve"> </w:t>
                  </w:r>
                  <w:r>
                    <w:rPr>
                      <w:rFonts w:ascii="Times New Roman" w:hAnsi="Calibri"/>
                      <w:b/>
                      <w:w w:val="130"/>
                      <w:sz w:val="96"/>
                    </w:rPr>
                    <w:fldChar w:fldCharType="begin">
                      <w:ffData>
                        <w:name w:val="c1"/>
                        <w:enabled/>
                        <w:calcOnExit w:val="0"/>
                        <w:textInput>
                          <w:default w:val="DB44"/>
                          <w:maxLength w:val="7"/>
                        </w:textInput>
                      </w:ffData>
                    </w:fldChar>
                  </w:r>
                  <w:bookmarkStart w:id="4" w:name="c1"/>
                  <w:r>
                    <w:rPr>
                      <w:rFonts w:ascii="Times New Roman" w:hAnsi="Calibri"/>
                      <w:b/>
                      <w:w w:val="130"/>
                      <w:sz w:val="96"/>
                    </w:rPr>
                    <w:instrText xml:space="preserve"> FORMTEXT </w:instrText>
                  </w:r>
                  <w:r>
                    <w:rPr>
                      <w:rFonts w:ascii="Times New Roman" w:hAnsi="Calibri"/>
                      <w:b/>
                      <w:w w:val="130"/>
                      <w:sz w:val="96"/>
                    </w:rPr>
                    <w:fldChar w:fldCharType="separate"/>
                  </w:r>
                  <w:r>
                    <w:rPr>
                      <w:rFonts w:ascii="Times New Roman" w:hAnsi="Calibri"/>
                      <w:b/>
                      <w:w w:val="130"/>
                      <w:sz w:val="96"/>
                    </w:rPr>
                    <w:t>DB44</w:t>
                  </w:r>
                  <w:r>
                    <w:rPr>
                      <w:rFonts w:ascii="Times New Roman" w:hAnsi="Calibri"/>
                      <w:b/>
                      <w:w w:val="130"/>
                      <w:sz w:val="96"/>
                    </w:rPr>
                    <w:fldChar w:fldCharType="end"/>
                  </w:r>
                  <w:bookmarkEnd w:id="4"/>
                </w:p>
              </w:tc>
            </w:tr>
          </w:tbl>
          <w:p w14:paraId="4ADE5351">
            <w:pPr>
              <w:framePr w:wrap="notBeside" w:vAnchor="page" w:hAnchor="page" w:x="1372" w:y="655"/>
              <w:widowControl w:val="0"/>
              <w:tabs>
                <w:tab w:val="clear" w:pos="4201"/>
                <w:tab w:val="clear" w:pos="9298"/>
              </w:tabs>
              <w:autoSpaceDE/>
              <w:autoSpaceDN/>
              <w:snapToGrid w:val="0"/>
              <w:spacing w:before="40"/>
              <w:ind w:firstLine="0" w:firstLineChars="0"/>
              <w:jc w:val="left"/>
              <w:rPr>
                <w:rFonts w:ascii="黑体" w:hAnsi="黑体" w:eastAsia="黑体"/>
                <w:kern w:val="2"/>
                <w:szCs w:val="21"/>
              </w:rPr>
            </w:pPr>
            <w:r>
              <w:rPr>
                <w:rFonts w:ascii="黑体" w:hAnsi="黑体" w:eastAsia="黑体"/>
                <w:kern w:val="2"/>
                <w:szCs w:val="21"/>
              </w:rPr>
              <w:fldChar w:fldCharType="begin">
                <w:ffData>
                  <w:name w:val="CSDN"/>
                  <w:enabled/>
                  <w:calcOnExit w:val="0"/>
                  <w:textInput>
                    <w:default w:val="C30"/>
                  </w:textInput>
                </w:ffData>
              </w:fldChar>
            </w:r>
            <w:bookmarkStart w:id="5" w:name="CSDN"/>
            <w:r>
              <w:rPr>
                <w:rFonts w:ascii="黑体" w:hAnsi="黑体" w:eastAsia="黑体"/>
                <w:kern w:val="2"/>
                <w:szCs w:val="21"/>
              </w:rPr>
              <w:instrText xml:space="preserve"> FORMTEXT </w:instrText>
            </w:r>
            <w:r>
              <w:rPr>
                <w:rFonts w:ascii="黑体" w:hAnsi="黑体" w:eastAsia="黑体"/>
                <w:kern w:val="2"/>
                <w:szCs w:val="21"/>
              </w:rPr>
              <w:fldChar w:fldCharType="separate"/>
            </w:r>
            <w:r>
              <w:rPr>
                <w:rFonts w:ascii="黑体" w:hAnsi="黑体" w:eastAsia="黑体"/>
                <w:kern w:val="2"/>
                <w:szCs w:val="21"/>
              </w:rPr>
              <w:t>C30</w:t>
            </w:r>
            <w:r>
              <w:rPr>
                <w:rFonts w:ascii="黑体" w:hAnsi="黑体" w:eastAsia="黑体"/>
                <w:kern w:val="2"/>
                <w:szCs w:val="21"/>
              </w:rPr>
              <w:fldChar w:fldCharType="end"/>
            </w:r>
            <w:bookmarkEnd w:id="5"/>
          </w:p>
        </w:tc>
      </w:tr>
    </w:tbl>
    <w:p w14:paraId="77B418CE">
      <w:pPr>
        <w:pStyle w:val="49"/>
        <w:rPr>
          <w:rFonts w:ascii="黑体" w:hAnsi="黑体" w:eastAsia="黑体"/>
          <w:color w:val="000000" w:themeColor="text1"/>
          <w:sz w:val="32"/>
          <w:szCs w:val="32"/>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cols w:space="425" w:num="1"/>
          <w:titlePg/>
          <w:docGrid w:type="lines" w:linePitch="312" w:charSpace="0"/>
        </w:sectPr>
      </w:pPr>
      <w:r>
        <w:rPr>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page">
                  <wp:posOffset>894080</wp:posOffset>
                </wp:positionH>
                <wp:positionV relativeFrom="page">
                  <wp:posOffset>9384665</wp:posOffset>
                </wp:positionV>
                <wp:extent cx="5760085" cy="0"/>
                <wp:effectExtent l="0" t="0" r="0" b="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70.4pt;margin-top:738.95pt;height:0pt;width:453.55pt;mso-position-horizontal-relative:page;mso-position-vertical-relative:page;z-index:251661312;mso-width-relative:page;mso-height-relative:page;" filled="f" stroked="t" coordsize="21600,21600" o:gfxdata="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XJfNcA&#10;AAAOAQAADwAAAAAAAAABACAAAAAiAAAAZHJzL2Rvd25yZXYueG1sUEsBAhQAFAAAAAgAh07iQEZq&#10;CS7nAQAAqwMAAA4AAAAAAAAAAQAgAAAAJgEAAGRycy9lMm9Eb2MueG1sUEsFBgAAAAAGAAYAWQEA&#10;AH8FAAAAAA==&#10;">
                <v:fill on="f" focussize="0,0"/>
                <v:stroke weight="1pt" color="#08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page">
                  <wp:posOffset>900430</wp:posOffset>
                </wp:positionH>
                <wp:positionV relativeFrom="page">
                  <wp:posOffset>2706370</wp:posOffset>
                </wp:positionV>
                <wp:extent cx="5760085" cy="0"/>
                <wp:effectExtent l="0" t="0" r="0" b="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70.9pt;margin-top:213.1pt;height:0pt;width:453.55pt;mso-position-horizontal-relative:page;mso-position-vertical-relative:page;z-index:251662336;mso-width-relative:page;mso-height-relative:page;" filled="f" stroked="t" coordsize="21600,21600" o:gfxdata="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SpTsNkA&#10;AAAMAQAADwAAAAAAAAABACAAAAAiAAAAZHJzL2Rvd25yZXYueG1sUEsBAhQAFAAAAAgAh07iQLtk&#10;0OflAQAAqwMAAA4AAAAAAAAAAQAgAAAAKAEAAGRycy9lMm9Eb2MueG1sUEsFBgAAAAAGAAYAWQEA&#10;AH8FAAAAAA==&#10;">
                <v:fill on="f" focussize="0,0"/>
                <v:stroke weight="1pt" color="#08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7456" behindDoc="0" locked="1" layoutInCell="1" allowOverlap="1">
                <wp:simplePos x="0" y="0"/>
                <wp:positionH relativeFrom="page">
                  <wp:posOffset>4829175</wp:posOffset>
                </wp:positionH>
                <wp:positionV relativeFrom="page">
                  <wp:posOffset>9639300</wp:posOffset>
                </wp:positionV>
                <wp:extent cx="1159510" cy="363855"/>
                <wp:effectExtent l="0" t="0" r="2540" b="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159510" cy="363855"/>
                        </a:xfrm>
                        <a:prstGeom prst="rect">
                          <a:avLst/>
                        </a:prstGeom>
                        <a:solidFill>
                          <a:srgbClr val="FFFFFF"/>
                        </a:solidFill>
                        <a:ln>
                          <a:noFill/>
                        </a:ln>
                      </wps:spPr>
                      <wps:txbx>
                        <w:txbxContent>
                          <w:p w14:paraId="0B34BAB5">
                            <w:pPr>
                              <w:ind w:firstLine="0" w:firstLineChars="0"/>
                              <w:jc w:val="left"/>
                              <w:rPr>
                                <w:rFonts w:ascii="黑体" w:hAnsi="黑体" w:eastAsia="黑体"/>
                                <w:spacing w:val="20"/>
                              </w:rPr>
                            </w:pPr>
                            <w:r>
                              <w:rPr>
                                <w:rFonts w:hint="eastAsia" w:ascii="黑体" w:hAnsi="黑体" w:eastAsia="黑体"/>
                              </w:rPr>
                              <w:t>发 布</w:t>
                            </w:r>
                          </w:p>
                        </w:txbxContent>
                      </wps:txbx>
                      <wps:bodyPr rot="0" vert="horz" wrap="square" lIns="0" tIns="0" rIns="0" bIns="0" anchor="ctr" anchorCtr="0" upright="1">
                        <a:noAutofit/>
                      </wps:bodyPr>
                    </wps:wsp>
                  </a:graphicData>
                </a:graphic>
              </wp:anchor>
            </w:drawing>
          </mc:Choice>
          <mc:Fallback>
            <w:pict>
              <v:shape id="_x0000_s1026" o:spid="_x0000_s1026" o:spt="202" type="#_x0000_t202" style="position:absolute;left:0pt;margin-left:380.25pt;margin-top:759pt;height:28.65pt;width:91.3pt;mso-position-horizontal-relative:page;mso-position-vertical-relative:page;z-index:251667456;v-text-anchor:middle;mso-width-relative:page;mso-height-relative:page;" fillcolor="#FFFFFF" filled="t" stroked="f" coordsize="21600,21600" o:gfxdata="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of&#10;B3vZAAAADQEAAA8AAAAAAAAAAQAgAAAAIgAAAGRycy9kb3ducmV2LnhtbFBLAQIUABQAAAAIAIdO&#10;4kDOQPQBIgIAADIEAAAOAAAAAAAAAAEAIAAAACgBAABkcnMvZTJvRG9jLnhtbFBLBQYAAAAABgAG&#10;AFkBAAC8BQAAAAA=&#10;">
                <v:fill on="t" focussize="0,0"/>
                <v:stroke on="f"/>
                <v:imagedata o:title=""/>
                <o:lock v:ext="edit" aspectratio="f"/>
                <v:textbox inset="0mm,0mm,0mm,0mm">
                  <w:txbxContent>
                    <w:p w14:paraId="0B34BAB5">
                      <w:pPr>
                        <w:ind w:firstLine="0" w:firstLineChars="0"/>
                        <w:jc w:val="left"/>
                        <w:rPr>
                          <w:rFonts w:ascii="黑体" w:hAnsi="黑体" w:eastAsia="黑体"/>
                          <w:spacing w:val="20"/>
                        </w:rPr>
                      </w:pPr>
                      <w:r>
                        <w:rPr>
                          <w:rFonts w:hint="eastAsia" w:ascii="黑体" w:hAnsi="黑体" w:eastAsia="黑体"/>
                        </w:rPr>
                        <w:t>发 布</w:t>
                      </w:r>
                    </w:p>
                  </w:txbxContent>
                </v:textbox>
                <w10:anchorlock/>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6432" behindDoc="0" locked="1" layoutInCell="1" allowOverlap="1">
                <wp:simplePos x="0" y="0"/>
                <wp:positionH relativeFrom="margin">
                  <wp:posOffset>1337945</wp:posOffset>
                </wp:positionH>
                <wp:positionV relativeFrom="page">
                  <wp:posOffset>9544050</wp:posOffset>
                </wp:positionV>
                <wp:extent cx="2457450" cy="523875"/>
                <wp:effectExtent l="0" t="0" r="0" b="952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457450" cy="523875"/>
                        </a:xfrm>
                        <a:prstGeom prst="rect">
                          <a:avLst/>
                        </a:prstGeom>
                        <a:solidFill>
                          <a:srgbClr val="FFFFFF"/>
                        </a:solidFill>
                        <a:ln>
                          <a:noFill/>
                        </a:ln>
                      </wps:spPr>
                      <wps:txbx>
                        <w:txbxContent>
                          <w:p w14:paraId="4B4B26EA">
                            <w:pPr>
                              <w:spacing w:line="400" w:lineRule="exact"/>
                              <w:ind w:firstLine="0" w:firstLineChars="0"/>
                              <w:jc w:val="right"/>
                              <w:rPr>
                                <w:rFonts w:ascii="黑体" w:hAnsi="黑体" w:eastAsia="黑体"/>
                                <w:spacing w:val="20"/>
                              </w:rPr>
                            </w:pPr>
                            <w:r>
                              <w:rPr>
                                <w:rStyle w:val="45"/>
                                <w:rFonts w:hint="eastAsia" w:hAnsi="黑体"/>
                                <w:spacing w:val="0"/>
                                <w:sz w:val="36"/>
                                <w:szCs w:val="36"/>
                              </w:rPr>
                              <w:t>广东省市场监督管理局</w:t>
                            </w:r>
                          </w:p>
                        </w:txbxContent>
                      </wps:txbx>
                      <wps:bodyPr rot="0" vert="horz" wrap="square" lIns="0" tIns="0" rIns="0" bIns="0" anchor="ctr" anchorCtr="0" upright="1">
                        <a:noAutofit/>
                      </wps:bodyPr>
                    </wps:wsp>
                  </a:graphicData>
                </a:graphic>
              </wp:anchor>
            </w:drawing>
          </mc:Choice>
          <mc:Fallback>
            <w:pict>
              <v:shape id="_x0000_s1026" o:spid="_x0000_s1026" o:spt="202" type="#_x0000_t202" style="position:absolute;left:0pt;margin-left:105.35pt;margin-top:751.5pt;height:41.25pt;width:193.5pt;mso-position-horizontal-relative:margin;mso-position-vertical-relative:page;z-index:251666432;v-text-anchor:middle;mso-width-relative:page;mso-height-relative:page;" fillcolor="#FFFFFF" filled="t" stroked="f" coordsize="21600,21600" o:gfxdata="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a&#10;lMB62QAAAA0BAAAPAAAAAAAAAAEAIAAAACIAAABkcnMvZG93bnJldi54bWxQSwECFAAUAAAACACH&#10;TuJA7LMrpCMCAAAwBAAADgAAAAAAAAABACAAAAAoAQAAZHJzL2Uyb0RvYy54bWxQSwUGAAAAAAYA&#10;BgBZAQAAvQUAAAAA&#10;">
                <v:fill on="t" focussize="0,0"/>
                <v:stroke on="f"/>
                <v:imagedata o:title=""/>
                <o:lock v:ext="edit" aspectratio="f"/>
                <v:textbox inset="0mm,0mm,0mm,0mm">
                  <w:txbxContent>
                    <w:p w14:paraId="4B4B26EA">
                      <w:pPr>
                        <w:spacing w:line="400" w:lineRule="exact"/>
                        <w:ind w:firstLine="0" w:firstLineChars="0"/>
                        <w:jc w:val="right"/>
                        <w:rPr>
                          <w:rFonts w:ascii="黑体" w:hAnsi="黑体" w:eastAsia="黑体"/>
                          <w:spacing w:val="20"/>
                        </w:rPr>
                      </w:pPr>
                      <w:r>
                        <w:rPr>
                          <w:rStyle w:val="45"/>
                          <w:rFonts w:hint="eastAsia" w:hAnsi="黑体"/>
                          <w:spacing w:val="0"/>
                          <w:sz w:val="36"/>
                          <w:szCs w:val="36"/>
                        </w:rPr>
                        <w:t>广东省市场监督管理局</w:t>
                      </w:r>
                    </w:p>
                  </w:txbxContent>
                </v:textbox>
                <w10:anchorlock/>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5408" behindDoc="0" locked="1" layoutInCell="1" allowOverlap="1">
                <wp:simplePos x="0" y="0"/>
                <wp:positionH relativeFrom="margin">
                  <wp:posOffset>4105275</wp:posOffset>
                </wp:positionH>
                <wp:positionV relativeFrom="margin">
                  <wp:posOffset>8020050</wp:posOffset>
                </wp:positionV>
                <wp:extent cx="1676400" cy="312420"/>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676400" cy="312420"/>
                        </a:xfrm>
                        <a:prstGeom prst="rect">
                          <a:avLst/>
                        </a:prstGeom>
                        <a:solidFill>
                          <a:srgbClr val="FFFFFF"/>
                        </a:solidFill>
                        <a:ln>
                          <a:noFill/>
                        </a:ln>
                      </wps:spPr>
                      <wps:txbx>
                        <w:txbxContent>
                          <w:p w14:paraId="59634C4A">
                            <w:pPr>
                              <w:ind w:firstLine="0" w:firstLineChars="0"/>
                              <w:jc w:val="right"/>
                              <w:rPr>
                                <w:rFonts w:ascii="黑体" w:hAnsi="黑体" w:eastAsia="黑体"/>
                              </w:rPr>
                            </w:pPr>
                            <w:r>
                              <w:rPr>
                                <w:rFonts w:ascii="Arial" w:hAnsi="Arial" w:eastAsia="黑体" w:cs="Arial"/>
                              </w:rPr>
                              <w:t>20XX-XX-XX</w:t>
                            </w:r>
                            <w:r>
                              <w:rPr>
                                <w:rFonts w:hint="eastAsia" w:ascii="黑体" w:hAnsi="黑体" w:eastAsia="黑体"/>
                              </w:rPr>
                              <w:t xml:space="preserve"> 实施</w:t>
                            </w:r>
                          </w:p>
                        </w:txbxContent>
                      </wps:txbx>
                      <wps:bodyPr rot="0" vert="horz" wrap="square" lIns="0" tIns="0" rIns="0" bIns="0" anchor="b" anchorCtr="0" upright="1">
                        <a:noAutofit/>
                      </wps:bodyPr>
                    </wps:wsp>
                  </a:graphicData>
                </a:graphic>
              </wp:anchor>
            </w:drawing>
          </mc:Choice>
          <mc:Fallback>
            <w:pict>
              <v:shape id="_x0000_s1026" o:spid="_x0000_s1026" o:spt="202" type="#_x0000_t202" style="position:absolute;left:0pt;margin-left:323.25pt;margin-top:631.5pt;height:24.6pt;width:132pt;mso-position-horizontal-relative:margin;mso-position-vertical-relative:margin;z-index:251665408;v-text-anchor:bottom;mso-width-relative:page;mso-height-relative:page;" fillcolor="#FFFFFF" filled="t" stroked="f" coordsize="21600,21600" o:gfxdata="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6Yi5O&#10;2gAAAA0BAAAPAAAAAAAAAAEAIAAAACIAAABkcnMvZG93bnJldi54bWxQSwECFAAUAAAACACHTuJA&#10;HlEiZh8CAAAuBAAADgAAAAAAAAABACAAAAApAQAAZHJzL2Uyb0RvYy54bWxQSwUGAAAAAAYABgBZ&#10;AQAAugUAAAAA&#10;">
                <v:fill on="t" focussize="0,0"/>
                <v:stroke on="f"/>
                <v:imagedata o:title=""/>
                <o:lock v:ext="edit" aspectratio="f"/>
                <v:textbox inset="0mm,0mm,0mm,0mm">
                  <w:txbxContent>
                    <w:p w14:paraId="59634C4A">
                      <w:pPr>
                        <w:ind w:firstLine="0" w:firstLineChars="0"/>
                        <w:jc w:val="right"/>
                        <w:rPr>
                          <w:rFonts w:ascii="黑体" w:hAnsi="黑体" w:eastAsia="黑体"/>
                        </w:rPr>
                      </w:pPr>
                      <w:r>
                        <w:rPr>
                          <w:rFonts w:ascii="Arial" w:hAnsi="Arial" w:eastAsia="黑体" w:cs="Arial"/>
                        </w:rPr>
                        <w:t>20XX-XX-XX</w:t>
                      </w:r>
                      <w:r>
                        <w:rPr>
                          <w:rFonts w:hint="eastAsia" w:ascii="黑体" w:hAnsi="黑体" w:eastAsia="黑体"/>
                        </w:rPr>
                        <w:t xml:space="preserve"> 实施</w:t>
                      </w:r>
                    </w:p>
                  </w:txbxContent>
                </v:textbox>
                <w10:anchorlock/>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4384" behindDoc="0" locked="1" layoutInCell="1" allowOverlap="1">
                <wp:simplePos x="0" y="0"/>
                <wp:positionH relativeFrom="margin">
                  <wp:align>left</wp:align>
                </wp:positionH>
                <wp:positionV relativeFrom="margin">
                  <wp:posOffset>8067675</wp:posOffset>
                </wp:positionV>
                <wp:extent cx="2019300" cy="25336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19300" cy="253365"/>
                        </a:xfrm>
                        <a:prstGeom prst="rect">
                          <a:avLst/>
                        </a:prstGeom>
                        <a:solidFill>
                          <a:srgbClr val="FFFFFF"/>
                        </a:solidFill>
                        <a:ln>
                          <a:noFill/>
                        </a:ln>
                      </wps:spPr>
                      <wps:txbx>
                        <w:txbxContent>
                          <w:p w14:paraId="3AC7F838">
                            <w:pPr>
                              <w:ind w:firstLine="0" w:firstLineChars="0"/>
                              <w:jc w:val="left"/>
                              <w:rPr>
                                <w:rFonts w:ascii="黑体" w:hAnsi="黑体" w:eastAsia="黑体"/>
                              </w:rPr>
                            </w:pPr>
                            <w:r>
                              <w:rPr>
                                <w:rFonts w:ascii="Vrinda" w:hAnsi="Vrinda" w:eastAsia="黑体" w:cs="Vrinda"/>
                              </w:rPr>
                              <w:t>20XX-XX-XX</w:t>
                            </w:r>
                            <w:r>
                              <w:rPr>
                                <w:rFonts w:ascii="黑体" w:hAnsi="黑体" w:eastAsia="黑体"/>
                              </w:rPr>
                              <w:t xml:space="preserve"> </w:t>
                            </w:r>
                            <w:r>
                              <w:rPr>
                                <w:rFonts w:hint="eastAsia" w:ascii="黑体" w:hAnsi="黑体" w:eastAsia="黑体"/>
                                <w:szCs w:val="28"/>
                              </w:rPr>
                              <w:t>发布</w:t>
                            </w:r>
                          </w:p>
                        </w:txbxContent>
                      </wps:txbx>
                      <wps:bodyPr rot="0" vert="horz" wrap="square" lIns="0" tIns="0" rIns="0" bIns="0" anchor="b" anchorCtr="0" upright="1">
                        <a:noAutofit/>
                      </wps:bodyPr>
                    </wps:wsp>
                  </a:graphicData>
                </a:graphic>
              </wp:anchor>
            </w:drawing>
          </mc:Choice>
          <mc:Fallback>
            <w:pict>
              <v:shape id="_x0000_s1026" o:spid="_x0000_s1026" o:spt="202" type="#_x0000_t202" style="position:absolute;left:0pt;margin-top:635.25pt;height:19.95pt;width:159pt;mso-position-horizontal:left;mso-position-horizontal-relative:margin;mso-position-vertical-relative:margin;z-index:251664384;v-text-anchor:bottom;mso-width-relative:page;mso-height-relative:page;" fillcolor="#FFFFFF" filled="t" stroked="f" coordsize="21600,21600" o:gfxdata="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hzHFLY&#10;AAAACgEAAA8AAAAAAAAAAQAgAAAAIgAAAGRycy9kb3ducmV2LnhtbFBLAQIUABQAAAAIAIdO4kDg&#10;JnKzIAIAAC4EAAAOAAAAAAAAAAEAIAAAACcBAABkcnMvZTJvRG9jLnhtbFBLBQYAAAAABgAGAFkB&#10;AAC5BQAAAAA=&#10;">
                <v:fill on="t" focussize="0,0"/>
                <v:stroke on="f"/>
                <v:imagedata o:title=""/>
                <o:lock v:ext="edit" aspectratio="f"/>
                <v:textbox inset="0mm,0mm,0mm,0mm">
                  <w:txbxContent>
                    <w:p w14:paraId="3AC7F838">
                      <w:pPr>
                        <w:ind w:firstLine="0" w:firstLineChars="0"/>
                        <w:jc w:val="left"/>
                        <w:rPr>
                          <w:rFonts w:ascii="黑体" w:hAnsi="黑体" w:eastAsia="黑体"/>
                        </w:rPr>
                      </w:pPr>
                      <w:r>
                        <w:rPr>
                          <w:rFonts w:ascii="Vrinda" w:hAnsi="Vrinda" w:eastAsia="黑体" w:cs="Vrinda"/>
                        </w:rPr>
                        <w:t>20XX-XX-XX</w:t>
                      </w:r>
                      <w:r>
                        <w:rPr>
                          <w:rFonts w:ascii="黑体" w:hAnsi="黑体" w:eastAsia="黑体"/>
                        </w:rPr>
                        <w:t xml:space="preserve"> </w:t>
                      </w:r>
                      <w:r>
                        <w:rPr>
                          <w:rFonts w:hint="eastAsia" w:ascii="黑体" w:hAnsi="黑体" w:eastAsia="黑体"/>
                          <w:szCs w:val="28"/>
                        </w:rPr>
                        <w:t>发布</w:t>
                      </w:r>
                    </w:p>
                  </w:txbxContent>
                </v:textbox>
                <w10:anchorlock/>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59264" behindDoc="0" locked="1" layoutInCell="1" allowOverlap="1">
                <wp:simplePos x="0" y="0"/>
                <wp:positionH relativeFrom="margin">
                  <wp:align>right</wp:align>
                </wp:positionH>
                <wp:positionV relativeFrom="margin">
                  <wp:posOffset>643255</wp:posOffset>
                </wp:positionV>
                <wp:extent cx="5759450" cy="39116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759450" cy="391160"/>
                        </a:xfrm>
                        <a:prstGeom prst="rect">
                          <a:avLst/>
                        </a:prstGeom>
                        <a:solidFill>
                          <a:srgbClr val="FFFFFF"/>
                        </a:solidFill>
                        <a:ln>
                          <a:noFill/>
                        </a:ln>
                      </wps:spPr>
                      <wps:txbx>
                        <w:txbxContent>
                          <w:p w14:paraId="72768A57">
                            <w:pPr>
                              <w:pStyle w:val="50"/>
                              <w:ind w:right="99" w:rightChars="47"/>
                              <w:rPr>
                                <w:rFonts w:hAnsi="黑体"/>
                              </w:rPr>
                            </w:pPr>
                            <w:r>
                              <w:rPr>
                                <w:rFonts w:hint="eastAsia" w:hAnsi="黑体"/>
                              </w:rPr>
                              <w:t>广东省地方标准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50.65pt;height:30.8pt;width:453.5pt;mso-position-horizontal:right;mso-position-horizontal-relative:margin;mso-position-vertical-relative:margin;z-index:251659264;mso-width-relative:page;mso-height-relative:page;" fillcolor="#FFFFFF" filled="t" stroked="f" coordsize="21600,21600" o:gfxdata="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V8keNYA&#10;AAAIAQAADwAAAAAAAAABACAAAAAiAAAAZHJzL2Rvd25yZXYueG1sUEsBAhQAFAAAAAgAh07iQHV6&#10;XTchAgAALgQAAA4AAAAAAAAAAQAgAAAAJQEAAGRycy9lMm9Eb2MueG1sUEsFBgAAAAAGAAYAWQEA&#10;ALgFAAAAAA==&#10;">
                <v:fill on="t" focussize="0,0"/>
                <v:stroke on="f"/>
                <v:imagedata o:title=""/>
                <o:lock v:ext="edit" aspectratio="f"/>
                <v:textbox inset="0mm,0mm,0mm,0mm">
                  <w:txbxContent>
                    <w:p w14:paraId="72768A57">
                      <w:pPr>
                        <w:pStyle w:val="50"/>
                        <w:ind w:right="99" w:rightChars="47"/>
                        <w:rPr>
                          <w:rFonts w:hAnsi="黑体"/>
                        </w:rPr>
                      </w:pPr>
                      <w:r>
                        <w:rPr>
                          <w:rFonts w:hint="eastAsia" w:hAnsi="黑体"/>
                        </w:rPr>
                        <w:t>广东省地方标准</w:t>
                      </w:r>
                    </w:p>
                  </w:txbxContent>
                </v:textbox>
                <w10:anchorlock/>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margin">
                  <wp:align>right</wp:align>
                </wp:positionH>
                <wp:positionV relativeFrom="margin">
                  <wp:posOffset>1376045</wp:posOffset>
                </wp:positionV>
                <wp:extent cx="5759450" cy="33274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59450" cy="332740"/>
                        </a:xfrm>
                        <a:prstGeom prst="rect">
                          <a:avLst/>
                        </a:prstGeom>
                        <a:solidFill>
                          <a:srgbClr val="FFFFFF"/>
                        </a:solidFill>
                        <a:ln>
                          <a:noFill/>
                        </a:ln>
                      </wps:spPr>
                      <wps:txbx>
                        <w:txbxContent>
                          <w:p w14:paraId="34B1ACAC">
                            <w:pPr>
                              <w:pStyle w:val="44"/>
                              <w:spacing w:before="0"/>
                              <w:rPr>
                                <w:rFonts w:hAnsi="黑体"/>
                              </w:rPr>
                            </w:pPr>
                            <w:r>
                              <w:rPr>
                                <w:rFonts w:hAnsi="黑体"/>
                              </w:rPr>
                              <w:t>DB</w:t>
                            </w:r>
                            <w:r>
                              <w:rPr>
                                <w:rFonts w:hint="eastAsia" w:hAnsi="黑体"/>
                              </w:rPr>
                              <w:t>4</w:t>
                            </w:r>
                            <w:r>
                              <w:rPr>
                                <w:rFonts w:hAnsi="黑体"/>
                              </w:rPr>
                              <w:t>4/T XXX—20XX</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108.35pt;height:26.2pt;width:453.5pt;mso-position-horizontal:right;mso-position-horizontal-relative:margin;mso-position-vertical-relative:margin;z-index:251660288;mso-width-relative:page;mso-height-relative:page;" fillcolor="#FFFFFF" filled="t" stroked="f" coordsize="21600,21600" o:gfxdata="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qmSxZtYA&#10;AAAIAQAADwAAAAAAAAABACAAAAAiAAAAZHJzL2Rvd25yZXYueG1sUEsBAhQAFAAAAAgAh07iQIZC&#10;1m0hAgAALgQAAA4AAAAAAAAAAQAgAAAAJQEAAGRycy9lMm9Eb2MueG1sUEsFBgAAAAAGAAYAWQEA&#10;ALgFAAAAAA==&#10;">
                <v:fill on="t" focussize="0,0"/>
                <v:stroke on="f"/>
                <v:imagedata o:title=""/>
                <o:lock v:ext="edit" aspectratio="f"/>
                <v:textbox inset="0mm,0mm,0mm,0mm">
                  <w:txbxContent>
                    <w:p w14:paraId="34B1ACAC">
                      <w:pPr>
                        <w:pStyle w:val="44"/>
                        <w:spacing w:before="0"/>
                        <w:rPr>
                          <w:rFonts w:hAnsi="黑体"/>
                        </w:rPr>
                      </w:pPr>
                      <w:r>
                        <w:rPr>
                          <w:rFonts w:hAnsi="黑体"/>
                        </w:rPr>
                        <w:t>DB</w:t>
                      </w:r>
                      <w:r>
                        <w:rPr>
                          <w:rFonts w:hint="eastAsia" w:hAnsi="黑体"/>
                        </w:rPr>
                        <w:t>4</w:t>
                      </w:r>
                      <w:r>
                        <w:rPr>
                          <w:rFonts w:hAnsi="黑体"/>
                        </w:rPr>
                        <w:t>4/T XXX—20XX</w:t>
                      </w:r>
                    </w:p>
                  </w:txbxContent>
                </v:textbox>
                <w10:anchorlock/>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page">
                  <wp:posOffset>796290</wp:posOffset>
                </wp:positionH>
                <wp:positionV relativeFrom="page">
                  <wp:posOffset>4392295</wp:posOffset>
                </wp:positionV>
                <wp:extent cx="5969000" cy="365188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969000" cy="3651885"/>
                        </a:xfrm>
                        <a:prstGeom prst="rect">
                          <a:avLst/>
                        </a:prstGeom>
                        <a:solidFill>
                          <a:srgbClr val="FFFFFF"/>
                        </a:solidFill>
                        <a:ln>
                          <a:noFill/>
                        </a:ln>
                      </wps:spPr>
                      <wps:txbx>
                        <w:txbxContent>
                          <w:p w14:paraId="1E1CBB4D">
                            <w:pPr>
                              <w:pStyle w:val="46"/>
                              <w:spacing w:line="240" w:lineRule="auto"/>
                            </w:pPr>
                            <w:r>
                              <w:rPr>
                                <w:rFonts w:hint="eastAsia"/>
                              </w:rPr>
                              <w:t>艾灸仪 无烟检测技术</w:t>
                            </w:r>
                          </w:p>
                          <w:p w14:paraId="2481FAA7">
                            <w:pPr>
                              <w:pStyle w:val="48"/>
                              <w:spacing w:before="567" w:line="240" w:lineRule="auto"/>
                              <w:rPr>
                                <w:rFonts w:ascii="Times New Roman"/>
                              </w:rPr>
                            </w:pPr>
                            <w:r>
                              <w:rPr>
                                <w:rFonts w:ascii="Times New Roman"/>
                                <w:b/>
                                <w:bCs/>
                              </w:rPr>
                              <w:t>Requirements for smokeless moxibustion devices</w:t>
                            </w:r>
                          </w:p>
                          <w:p w14:paraId="13B098E3">
                            <w:pPr>
                              <w:pStyle w:val="48"/>
                              <w:spacing w:before="851" w:line="240" w:lineRule="auto"/>
                              <w:rPr>
                                <w:rFonts w:asciiTheme="minorEastAsia" w:hAnsiTheme="minorEastAsia" w:eastAsiaTheme="minorEastAsia"/>
                                <w:sz w:val="21"/>
                                <w:szCs w:val="21"/>
                              </w:rPr>
                            </w:pPr>
                            <w:r>
                              <w:rPr>
                                <w:rFonts w:hint="eastAsia" w:ascii="黑体" w:eastAsia="黑体"/>
                              </w:rPr>
                              <w:t>（讨论稿）</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62.7pt;margin-top:345.85pt;height:287.55pt;width:470pt;mso-position-horizontal-relative:page;mso-position-vertical-relative:page;z-index:251663360;mso-width-relative:page;mso-height-relative:page;" fillcolor="#FFFFFF" filled="t" stroked="f" coordsize="21600,21600" o:gfxdata="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KheXwNgA&#10;AAANAQAADwAAAAAAAAABACAAAAAiAAAAZHJzL2Rvd25yZXYueG1sUEsBAhQAFAAAAAgAh07iQHFT&#10;spwfAgAALwQAAA4AAAAAAAAAAQAgAAAAJwEAAGRycy9lMm9Eb2MueG1sUEsFBgAAAAAGAAYAWQEA&#10;ALgFAAAAAA==&#10;">
                <v:fill on="t" focussize="0,0"/>
                <v:stroke on="f"/>
                <v:imagedata o:title=""/>
                <o:lock v:ext="edit" aspectratio="f"/>
                <v:textbox inset="0mm,0mm,0mm,0mm">
                  <w:txbxContent>
                    <w:p w14:paraId="1E1CBB4D">
                      <w:pPr>
                        <w:pStyle w:val="46"/>
                        <w:spacing w:line="240" w:lineRule="auto"/>
                      </w:pPr>
                      <w:r>
                        <w:rPr>
                          <w:rFonts w:hint="eastAsia"/>
                        </w:rPr>
                        <w:t>艾灸仪 无烟检测技术</w:t>
                      </w:r>
                    </w:p>
                    <w:p w14:paraId="2481FAA7">
                      <w:pPr>
                        <w:pStyle w:val="48"/>
                        <w:spacing w:before="567" w:line="240" w:lineRule="auto"/>
                        <w:rPr>
                          <w:rFonts w:ascii="Times New Roman"/>
                        </w:rPr>
                      </w:pPr>
                      <w:r>
                        <w:rPr>
                          <w:rFonts w:ascii="Times New Roman"/>
                          <w:b/>
                          <w:bCs/>
                        </w:rPr>
                        <w:t>Requirements for smokeless moxibustion devices</w:t>
                      </w:r>
                    </w:p>
                    <w:p w14:paraId="13B098E3">
                      <w:pPr>
                        <w:pStyle w:val="48"/>
                        <w:spacing w:before="851" w:line="240" w:lineRule="auto"/>
                        <w:rPr>
                          <w:rFonts w:asciiTheme="minorEastAsia" w:hAnsiTheme="minorEastAsia" w:eastAsiaTheme="minorEastAsia"/>
                          <w:sz w:val="21"/>
                          <w:szCs w:val="21"/>
                        </w:rPr>
                      </w:pPr>
                      <w:r>
                        <w:rPr>
                          <w:rFonts w:hint="eastAsia" w:ascii="黑体" w:eastAsia="黑体"/>
                        </w:rPr>
                        <w:t>（讨论稿）</w:t>
                      </w:r>
                    </w:p>
                  </w:txbxContent>
                </v:textbox>
                <w10:anchorlock/>
              </v:shape>
            </w:pict>
          </mc:Fallback>
        </mc:AlternateContent>
      </w:r>
      <w:bookmarkEnd w:id="0"/>
      <w:bookmarkStart w:id="6" w:name="_Toc43424583"/>
      <w:bookmarkStart w:id="7" w:name="_Toc43424459"/>
    </w:p>
    <w:p w14:paraId="17064FE4">
      <w:pPr>
        <w:pStyle w:val="49"/>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目</w:t>
      </w:r>
      <w:bookmarkStart w:id="8" w:name="BKML"/>
      <w:r>
        <w:rPr>
          <w:rFonts w:hint="eastAsia" w:ascii="黑体" w:hAnsi="黑体" w:eastAsia="黑体"/>
          <w:color w:val="000000" w:themeColor="text1"/>
          <w:sz w:val="32"/>
          <w:szCs w:val="32"/>
          <w14:textFill>
            <w14:solidFill>
              <w14:schemeClr w14:val="tx1"/>
            </w14:solidFill>
          </w14:textFill>
        </w:rPr>
        <w:t xml:space="preserve">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次</w:t>
      </w:r>
      <w:bookmarkEnd w:id="1"/>
      <w:bookmarkEnd w:id="2"/>
      <w:bookmarkEnd w:id="6"/>
      <w:bookmarkEnd w:id="7"/>
      <w:bookmarkEnd w:id="8"/>
    </w:p>
    <w:sdt>
      <w:sdtPr>
        <w:rPr>
          <w:rFonts w:ascii="宋体" w:hAnsi="宋体" w:eastAsia="宋体" w:cs="Times New Roman"/>
          <w:color w:val="000000" w:themeColor="text1"/>
          <w:szCs w:val="20"/>
          <w:lang w:val="zh-CN"/>
          <w14:textFill>
            <w14:solidFill>
              <w14:schemeClr w14:val="tx1"/>
            </w14:solidFill>
          </w14:textFill>
        </w:rPr>
        <w:id w:val="-1548368742"/>
        <w:docPartObj>
          <w:docPartGallery w:val="Table of Contents"/>
          <w:docPartUnique/>
        </w:docPartObj>
      </w:sdtPr>
      <w:sdtEndPr>
        <w:rPr>
          <w:rFonts w:ascii="宋体" w:hAnsi="宋体" w:eastAsia="宋体" w:cs="Times New Roman"/>
          <w:b/>
          <w:bCs/>
          <w:color w:val="000000" w:themeColor="text1"/>
          <w:szCs w:val="20"/>
          <w:lang w:val="zh-CN"/>
          <w14:textFill>
            <w14:solidFill>
              <w14:schemeClr w14:val="tx1"/>
            </w14:solidFill>
          </w14:textFill>
        </w:rPr>
      </w:sdtEndPr>
      <w:sdtContent>
        <w:p w14:paraId="6D0C52BB">
          <w:pPr>
            <w:pStyle w:val="51"/>
            <w:spacing w:line="288" w:lineRule="auto"/>
            <w:rPr>
              <w:rFonts w:ascii="宋体" w:hAnsi="宋体" w:eastAsia="宋体"/>
              <w:color w:val="000000" w:themeColor="text1"/>
              <w14:textFill>
                <w14:solidFill>
                  <w14:schemeClr w14:val="tx1"/>
                </w14:solidFill>
              </w14:textFill>
            </w:rPr>
          </w:pPr>
        </w:p>
        <w:p w14:paraId="4CCC402F">
          <w:pPr>
            <w:pStyle w:val="13"/>
            <w:tabs>
              <w:tab w:val="right" w:leader="dot" w:pos="9060"/>
            </w:tabs>
            <w:rPr>
              <w:rFonts w:asciiTheme="minorHAnsi" w:hAnsiTheme="minorHAnsi" w:eastAsiaTheme="minorEastAsia" w:cstheme="minorBidi"/>
              <w:kern w:val="2"/>
              <w:szCs w:val="22"/>
            </w:rPr>
          </w:pPr>
          <w:r>
            <w:rPr>
              <w:rFonts w:hAnsi="宋体"/>
              <w:color w:val="000000" w:themeColor="text1"/>
              <w14:textFill>
                <w14:solidFill>
                  <w14:schemeClr w14:val="tx1"/>
                </w14:solidFill>
              </w14:textFill>
            </w:rPr>
            <w:fldChar w:fldCharType="begin"/>
          </w:r>
          <w:r>
            <w:rPr>
              <w:rFonts w:hAnsi="宋体"/>
              <w:color w:val="000000" w:themeColor="text1"/>
              <w14:textFill>
                <w14:solidFill>
                  <w14:schemeClr w14:val="tx1"/>
                </w14:solidFill>
              </w14:textFill>
            </w:rPr>
            <w:instrText xml:space="preserve"> TOC \o "1-2" \h \z \u </w:instrText>
          </w:r>
          <w:r>
            <w:rPr>
              <w:rFonts w:hAnsi="宋体"/>
              <w:color w:val="000000" w:themeColor="text1"/>
              <w14:textFill>
                <w14:solidFill>
                  <w14:schemeClr w14:val="tx1"/>
                </w14:solidFill>
              </w14:textFill>
            </w:rPr>
            <w:fldChar w:fldCharType="separate"/>
          </w:r>
          <w:r>
            <w:fldChar w:fldCharType="begin"/>
          </w:r>
          <w:r>
            <w:instrText xml:space="preserve"> HYPERLINK \l "_Toc163827814" </w:instrText>
          </w:r>
          <w:r>
            <w:fldChar w:fldCharType="separate"/>
          </w:r>
          <w:r>
            <w:rPr>
              <w:rStyle w:val="27"/>
              <w:rFonts w:ascii="黑体" w:eastAsia="黑体"/>
            </w:rPr>
            <w:t>前言</w:t>
          </w:r>
          <w:r>
            <w:tab/>
          </w:r>
          <w:r>
            <w:fldChar w:fldCharType="begin"/>
          </w:r>
          <w:r>
            <w:instrText xml:space="preserve"> PAGEREF _Toc163827814 \h </w:instrText>
          </w:r>
          <w:r>
            <w:fldChar w:fldCharType="separate"/>
          </w:r>
          <w:r>
            <w:t>III</w:t>
          </w:r>
          <w:r>
            <w:fldChar w:fldCharType="end"/>
          </w:r>
          <w:r>
            <w:fldChar w:fldCharType="end"/>
          </w:r>
        </w:p>
        <w:p w14:paraId="13CFA57E">
          <w:pPr>
            <w:pStyle w:val="13"/>
            <w:tabs>
              <w:tab w:val="right" w:leader="dot" w:pos="9060"/>
            </w:tabs>
            <w:rPr>
              <w:rFonts w:asciiTheme="minorHAnsi" w:hAnsiTheme="minorHAnsi" w:eastAsiaTheme="minorEastAsia" w:cstheme="minorBidi"/>
              <w:kern w:val="2"/>
              <w:szCs w:val="22"/>
            </w:rPr>
          </w:pPr>
          <w:r>
            <w:fldChar w:fldCharType="begin"/>
          </w:r>
          <w:r>
            <w:instrText xml:space="preserve"> HYPERLINK \l "_Toc163827815" </w:instrText>
          </w:r>
          <w:r>
            <w:fldChar w:fldCharType="separate"/>
          </w:r>
          <w:r>
            <w:rPr>
              <w:rStyle w:val="27"/>
              <w:rFonts w:ascii="黑体" w:eastAsia="黑体"/>
            </w:rPr>
            <w:t>引言</w:t>
          </w:r>
          <w:r>
            <w:tab/>
          </w:r>
          <w:r>
            <w:fldChar w:fldCharType="begin"/>
          </w:r>
          <w:r>
            <w:instrText xml:space="preserve"> PAGEREF _Toc163827815 \h </w:instrText>
          </w:r>
          <w:r>
            <w:fldChar w:fldCharType="separate"/>
          </w:r>
          <w:r>
            <w:t>IV</w:t>
          </w:r>
          <w:r>
            <w:fldChar w:fldCharType="end"/>
          </w:r>
          <w:r>
            <w:fldChar w:fldCharType="end"/>
          </w:r>
        </w:p>
        <w:p w14:paraId="2E65F508">
          <w:pPr>
            <w:pStyle w:val="13"/>
            <w:tabs>
              <w:tab w:val="left" w:pos="840"/>
              <w:tab w:val="right" w:leader="dot" w:pos="9060"/>
            </w:tabs>
            <w:rPr>
              <w:rFonts w:asciiTheme="minorHAnsi" w:hAnsiTheme="minorHAnsi" w:eastAsiaTheme="minorEastAsia" w:cstheme="minorBidi"/>
              <w:kern w:val="2"/>
              <w:szCs w:val="22"/>
            </w:rPr>
          </w:pPr>
          <w:bookmarkStart w:id="9" w:name="_Hlk178065021"/>
          <w:r>
            <w:fldChar w:fldCharType="begin"/>
          </w:r>
          <w:r>
            <w:instrText xml:space="preserve"> HYPERLINK \l "_Toc163827816" </w:instrText>
          </w:r>
          <w:r>
            <w:fldChar w:fldCharType="separate"/>
          </w:r>
          <w:r>
            <w:rPr>
              <w:rStyle w:val="27"/>
            </w:rPr>
            <w:t>1</w:t>
          </w:r>
          <w:r>
            <w:rPr>
              <w:rFonts w:asciiTheme="minorHAnsi" w:hAnsiTheme="minorHAnsi" w:eastAsiaTheme="minorEastAsia" w:cstheme="minorBidi"/>
              <w:kern w:val="2"/>
              <w:szCs w:val="22"/>
            </w:rPr>
            <w:tab/>
          </w:r>
          <w:r>
            <w:rPr>
              <w:rStyle w:val="27"/>
            </w:rPr>
            <w:t>范围</w:t>
          </w:r>
          <w:r>
            <w:tab/>
          </w:r>
          <w:r>
            <w:fldChar w:fldCharType="begin"/>
          </w:r>
          <w:r>
            <w:instrText xml:space="preserve"> PAGEREF _Toc163827816 \h </w:instrText>
          </w:r>
          <w:r>
            <w:fldChar w:fldCharType="separate"/>
          </w:r>
          <w:r>
            <w:t>1</w:t>
          </w:r>
          <w:r>
            <w:fldChar w:fldCharType="end"/>
          </w:r>
          <w:r>
            <w:fldChar w:fldCharType="end"/>
          </w:r>
        </w:p>
        <w:p w14:paraId="19947992">
          <w:pPr>
            <w:pStyle w:val="13"/>
            <w:tabs>
              <w:tab w:val="left" w:pos="840"/>
              <w:tab w:val="right" w:leader="dot" w:pos="9060"/>
            </w:tabs>
            <w:rPr>
              <w:rFonts w:asciiTheme="minorHAnsi" w:hAnsiTheme="minorHAnsi" w:eastAsiaTheme="minorEastAsia" w:cstheme="minorBidi"/>
              <w:kern w:val="2"/>
              <w:szCs w:val="22"/>
            </w:rPr>
          </w:pPr>
          <w:r>
            <w:fldChar w:fldCharType="begin"/>
          </w:r>
          <w:r>
            <w:instrText xml:space="preserve"> HYPERLINK \l "_Toc163827817" </w:instrText>
          </w:r>
          <w:r>
            <w:fldChar w:fldCharType="separate"/>
          </w:r>
          <w:r>
            <w:rPr>
              <w:rStyle w:val="27"/>
            </w:rPr>
            <w:t>2</w:t>
          </w:r>
          <w:r>
            <w:rPr>
              <w:rFonts w:asciiTheme="minorHAnsi" w:hAnsiTheme="minorHAnsi" w:eastAsiaTheme="minorEastAsia" w:cstheme="minorBidi"/>
              <w:kern w:val="2"/>
              <w:szCs w:val="22"/>
            </w:rPr>
            <w:tab/>
          </w:r>
          <w:r>
            <w:rPr>
              <w:rStyle w:val="27"/>
            </w:rPr>
            <w:t>规范性引用文件</w:t>
          </w:r>
          <w:r>
            <w:tab/>
          </w:r>
          <w:r>
            <w:fldChar w:fldCharType="begin"/>
          </w:r>
          <w:r>
            <w:instrText xml:space="preserve"> PAGEREF _Toc163827817 \h </w:instrText>
          </w:r>
          <w:r>
            <w:fldChar w:fldCharType="separate"/>
          </w:r>
          <w:r>
            <w:t>1</w:t>
          </w:r>
          <w:r>
            <w:fldChar w:fldCharType="end"/>
          </w:r>
          <w:r>
            <w:fldChar w:fldCharType="end"/>
          </w:r>
        </w:p>
        <w:p w14:paraId="57377CD5">
          <w:pPr>
            <w:pStyle w:val="13"/>
            <w:tabs>
              <w:tab w:val="left" w:pos="840"/>
              <w:tab w:val="right" w:leader="dot" w:pos="9060"/>
            </w:tabs>
            <w:rPr>
              <w:rFonts w:asciiTheme="minorHAnsi" w:hAnsiTheme="minorHAnsi" w:eastAsiaTheme="minorEastAsia" w:cstheme="minorBidi"/>
              <w:kern w:val="2"/>
              <w:szCs w:val="22"/>
            </w:rPr>
          </w:pPr>
          <w:r>
            <w:fldChar w:fldCharType="begin"/>
          </w:r>
          <w:r>
            <w:instrText xml:space="preserve"> HYPERLINK \l "_Toc163827818" </w:instrText>
          </w:r>
          <w:r>
            <w:fldChar w:fldCharType="separate"/>
          </w:r>
          <w:r>
            <w:rPr>
              <w:rStyle w:val="27"/>
            </w:rPr>
            <w:t>3</w:t>
          </w:r>
          <w:r>
            <w:rPr>
              <w:rFonts w:asciiTheme="minorHAnsi" w:hAnsiTheme="minorHAnsi" w:eastAsiaTheme="minorEastAsia" w:cstheme="minorBidi"/>
              <w:kern w:val="2"/>
              <w:szCs w:val="22"/>
            </w:rPr>
            <w:tab/>
          </w:r>
          <w:r>
            <w:rPr>
              <w:rStyle w:val="27"/>
            </w:rPr>
            <w:t>术语和定义</w:t>
          </w:r>
          <w:r>
            <w:tab/>
          </w:r>
          <w:r>
            <w:fldChar w:fldCharType="begin"/>
          </w:r>
          <w:r>
            <w:instrText xml:space="preserve"> PAGEREF _Toc163827818 \h </w:instrText>
          </w:r>
          <w:r>
            <w:fldChar w:fldCharType="separate"/>
          </w:r>
          <w:r>
            <w:t>1</w:t>
          </w:r>
          <w:r>
            <w:fldChar w:fldCharType="end"/>
          </w:r>
          <w:r>
            <w:fldChar w:fldCharType="end"/>
          </w:r>
        </w:p>
        <w:p w14:paraId="22FD47B4">
          <w:pPr>
            <w:pStyle w:val="13"/>
            <w:tabs>
              <w:tab w:val="left" w:pos="840"/>
              <w:tab w:val="right" w:leader="dot" w:pos="9060"/>
            </w:tabs>
            <w:rPr>
              <w:rFonts w:asciiTheme="minorHAnsi" w:hAnsiTheme="minorHAnsi" w:eastAsiaTheme="minorEastAsia" w:cstheme="minorBidi"/>
              <w:kern w:val="2"/>
              <w:szCs w:val="22"/>
            </w:rPr>
          </w:pPr>
          <w:r>
            <w:fldChar w:fldCharType="begin"/>
          </w:r>
          <w:r>
            <w:instrText xml:space="preserve"> HYPERLINK \l "_Toc163827819" </w:instrText>
          </w:r>
          <w:r>
            <w:fldChar w:fldCharType="separate"/>
          </w:r>
          <w:r>
            <w:rPr>
              <w:rStyle w:val="27"/>
            </w:rPr>
            <w:t>4</w:t>
          </w:r>
          <w:r>
            <w:rPr>
              <w:rFonts w:asciiTheme="minorHAnsi" w:hAnsiTheme="minorHAnsi" w:eastAsiaTheme="minorEastAsia" w:cstheme="minorBidi"/>
              <w:kern w:val="2"/>
              <w:szCs w:val="22"/>
            </w:rPr>
            <w:tab/>
          </w:r>
          <w:r>
            <w:rPr>
              <w:rStyle w:val="27"/>
            </w:rPr>
            <w:t>无烟艾灸仪要求与测试方法</w:t>
          </w:r>
          <w:r>
            <w:tab/>
          </w:r>
          <w:r>
            <w:fldChar w:fldCharType="begin"/>
          </w:r>
          <w:r>
            <w:instrText xml:space="preserve"> PAGEREF _Toc163827819 \h </w:instrText>
          </w:r>
          <w:r>
            <w:fldChar w:fldCharType="separate"/>
          </w:r>
          <w:r>
            <w:t>3</w:t>
          </w:r>
          <w:r>
            <w:fldChar w:fldCharType="end"/>
          </w:r>
          <w:r>
            <w:fldChar w:fldCharType="end"/>
          </w:r>
        </w:p>
        <w:p w14:paraId="13E32799">
          <w:pPr>
            <w:pStyle w:val="16"/>
            <w:rPr>
              <w:rFonts w:asciiTheme="minorHAnsi" w:hAnsiTheme="minorHAnsi" w:eastAsiaTheme="minorEastAsia" w:cstheme="minorBidi"/>
              <w:kern w:val="2"/>
              <w:szCs w:val="22"/>
            </w:rPr>
          </w:pPr>
          <w:r>
            <w:fldChar w:fldCharType="begin"/>
          </w:r>
          <w:r>
            <w:instrText xml:space="preserve"> HYPERLINK \l "_Toc163827820" </w:instrText>
          </w:r>
          <w:r>
            <w:fldChar w:fldCharType="separate"/>
          </w:r>
          <w:r>
            <w:rPr>
              <w:rStyle w:val="27"/>
            </w:rPr>
            <w:t>4.1</w:t>
          </w:r>
          <w:r>
            <w:rPr>
              <w:rFonts w:asciiTheme="minorHAnsi" w:hAnsiTheme="minorHAnsi" w:eastAsiaTheme="minorEastAsia" w:cstheme="minorBidi"/>
              <w:kern w:val="2"/>
              <w:szCs w:val="22"/>
            </w:rPr>
            <w:tab/>
          </w:r>
          <w:r>
            <w:rPr>
              <w:rStyle w:val="27"/>
            </w:rPr>
            <w:t>概述</w:t>
          </w:r>
          <w:r>
            <w:tab/>
          </w:r>
          <w:r>
            <w:fldChar w:fldCharType="begin"/>
          </w:r>
          <w:r>
            <w:instrText xml:space="preserve"> PAGEREF _Toc163827820 \h </w:instrText>
          </w:r>
          <w:r>
            <w:fldChar w:fldCharType="separate"/>
          </w:r>
          <w:r>
            <w:t>3</w:t>
          </w:r>
          <w:r>
            <w:fldChar w:fldCharType="end"/>
          </w:r>
          <w:r>
            <w:fldChar w:fldCharType="end"/>
          </w:r>
        </w:p>
        <w:p w14:paraId="68D1C96A">
          <w:pPr>
            <w:pStyle w:val="16"/>
            <w:rPr>
              <w:rFonts w:asciiTheme="minorHAnsi" w:hAnsiTheme="minorHAnsi" w:eastAsiaTheme="minorEastAsia" w:cstheme="minorBidi"/>
              <w:kern w:val="2"/>
              <w:szCs w:val="22"/>
            </w:rPr>
          </w:pPr>
          <w:r>
            <w:fldChar w:fldCharType="begin"/>
          </w:r>
          <w:r>
            <w:instrText xml:space="preserve"> HYPERLINK \l "_Toc163827821" </w:instrText>
          </w:r>
          <w:r>
            <w:fldChar w:fldCharType="separate"/>
          </w:r>
          <w:r>
            <w:rPr>
              <w:rStyle w:val="27"/>
            </w:rPr>
            <w:t>4.2</w:t>
          </w:r>
          <w:r>
            <w:rPr>
              <w:rFonts w:asciiTheme="minorHAnsi" w:hAnsiTheme="minorHAnsi" w:eastAsiaTheme="minorEastAsia" w:cstheme="minorBidi"/>
              <w:kern w:val="2"/>
              <w:szCs w:val="22"/>
            </w:rPr>
            <w:tab/>
          </w:r>
          <w:r>
            <w:rPr>
              <w:rStyle w:val="27"/>
            </w:rPr>
            <w:t>烟密度测试</w:t>
          </w:r>
          <w:r>
            <w:tab/>
          </w:r>
          <w:r>
            <w:fldChar w:fldCharType="begin"/>
          </w:r>
          <w:r>
            <w:instrText xml:space="preserve"> PAGEREF _Toc163827821 \h </w:instrText>
          </w:r>
          <w:r>
            <w:fldChar w:fldCharType="separate"/>
          </w:r>
          <w:r>
            <w:t>3</w:t>
          </w:r>
          <w:r>
            <w:fldChar w:fldCharType="end"/>
          </w:r>
          <w:r>
            <w:fldChar w:fldCharType="end"/>
          </w:r>
        </w:p>
        <w:p w14:paraId="45CBCBF7">
          <w:pPr>
            <w:pStyle w:val="16"/>
            <w:rPr>
              <w:rFonts w:asciiTheme="minorHAnsi" w:hAnsiTheme="minorHAnsi" w:eastAsiaTheme="minorEastAsia" w:cstheme="minorBidi"/>
              <w:kern w:val="2"/>
              <w:szCs w:val="22"/>
            </w:rPr>
          </w:pPr>
          <w:r>
            <w:fldChar w:fldCharType="begin"/>
          </w:r>
          <w:r>
            <w:instrText xml:space="preserve"> HYPERLINK \l "_Toc163827822" </w:instrText>
          </w:r>
          <w:r>
            <w:fldChar w:fldCharType="separate"/>
          </w:r>
          <w:r>
            <w:rPr>
              <w:rStyle w:val="27"/>
            </w:rPr>
            <w:t>4.3</w:t>
          </w:r>
          <w:r>
            <w:rPr>
              <w:rFonts w:asciiTheme="minorHAnsi" w:hAnsiTheme="minorHAnsi" w:eastAsiaTheme="minorEastAsia" w:cstheme="minorBidi"/>
              <w:kern w:val="2"/>
              <w:szCs w:val="22"/>
            </w:rPr>
            <w:tab/>
          </w:r>
          <w:r>
            <w:rPr>
              <w:rStyle w:val="27"/>
            </w:rPr>
            <w:t>产烟试验</w:t>
          </w:r>
          <w:r>
            <w:tab/>
          </w:r>
          <w:r>
            <w:fldChar w:fldCharType="begin"/>
          </w:r>
          <w:r>
            <w:instrText xml:space="preserve"> PAGEREF _Toc163827822 \h </w:instrText>
          </w:r>
          <w:r>
            <w:fldChar w:fldCharType="separate"/>
          </w:r>
          <w:r>
            <w:t>3</w:t>
          </w:r>
          <w:r>
            <w:fldChar w:fldCharType="end"/>
          </w:r>
          <w:r>
            <w:fldChar w:fldCharType="end"/>
          </w:r>
        </w:p>
        <w:p w14:paraId="116F1DBB">
          <w:pPr>
            <w:pStyle w:val="13"/>
            <w:tabs>
              <w:tab w:val="left" w:pos="840"/>
              <w:tab w:val="right" w:leader="dot" w:pos="9060"/>
            </w:tabs>
            <w:rPr>
              <w:rFonts w:asciiTheme="minorHAnsi" w:hAnsiTheme="minorHAnsi" w:eastAsiaTheme="minorEastAsia" w:cstheme="minorBidi"/>
              <w:kern w:val="2"/>
              <w:szCs w:val="22"/>
            </w:rPr>
          </w:pPr>
          <w:r>
            <w:fldChar w:fldCharType="begin"/>
          </w:r>
          <w:r>
            <w:instrText xml:space="preserve"> HYPERLINK \l "_Toc163827823" </w:instrText>
          </w:r>
          <w:r>
            <w:fldChar w:fldCharType="separate"/>
          </w:r>
          <w:r>
            <w:rPr>
              <w:rStyle w:val="27"/>
            </w:rPr>
            <w:t>5</w:t>
          </w:r>
          <w:r>
            <w:rPr>
              <w:rFonts w:asciiTheme="minorHAnsi" w:hAnsiTheme="minorHAnsi" w:eastAsiaTheme="minorEastAsia" w:cstheme="minorBidi"/>
              <w:kern w:val="2"/>
              <w:szCs w:val="22"/>
            </w:rPr>
            <w:tab/>
          </w:r>
          <w:r>
            <w:rPr>
              <w:rStyle w:val="27"/>
            </w:rPr>
            <w:t>安全要求</w:t>
          </w:r>
          <w:r>
            <w:tab/>
          </w:r>
          <w:r>
            <w:fldChar w:fldCharType="begin"/>
          </w:r>
          <w:r>
            <w:instrText xml:space="preserve"> PAGEREF _Toc163827823 \h </w:instrText>
          </w:r>
          <w:r>
            <w:fldChar w:fldCharType="separate"/>
          </w:r>
          <w:r>
            <w:t>3</w:t>
          </w:r>
          <w:r>
            <w:fldChar w:fldCharType="end"/>
          </w:r>
          <w:r>
            <w:fldChar w:fldCharType="end"/>
          </w:r>
        </w:p>
        <w:p w14:paraId="508F3E50">
          <w:pPr>
            <w:pStyle w:val="16"/>
            <w:rPr>
              <w:rFonts w:asciiTheme="minorHAnsi" w:hAnsiTheme="minorHAnsi" w:eastAsiaTheme="minorEastAsia" w:cstheme="minorBidi"/>
              <w:kern w:val="2"/>
              <w:szCs w:val="22"/>
            </w:rPr>
          </w:pPr>
          <w:r>
            <w:fldChar w:fldCharType="begin"/>
          </w:r>
          <w:r>
            <w:instrText xml:space="preserve"> HYPERLINK \l "_Toc163827824" </w:instrText>
          </w:r>
          <w:r>
            <w:fldChar w:fldCharType="separate"/>
          </w:r>
          <w:r>
            <w:rPr>
              <w:rStyle w:val="27"/>
            </w:rPr>
            <w:t>5.1</w:t>
          </w:r>
          <w:r>
            <w:rPr>
              <w:rFonts w:asciiTheme="minorHAnsi" w:hAnsiTheme="minorHAnsi" w:eastAsiaTheme="minorEastAsia" w:cstheme="minorBidi"/>
              <w:kern w:val="2"/>
              <w:szCs w:val="22"/>
            </w:rPr>
            <w:tab/>
          </w:r>
          <w:r>
            <w:rPr>
              <w:rStyle w:val="27"/>
            </w:rPr>
            <w:t>有毒气体</w:t>
          </w:r>
          <w:r>
            <w:tab/>
          </w:r>
          <w:r>
            <w:fldChar w:fldCharType="begin"/>
          </w:r>
          <w:r>
            <w:instrText xml:space="preserve"> PAGEREF _Toc163827824 \h </w:instrText>
          </w:r>
          <w:r>
            <w:fldChar w:fldCharType="separate"/>
          </w:r>
          <w:r>
            <w:t>3</w:t>
          </w:r>
          <w:r>
            <w:fldChar w:fldCharType="end"/>
          </w:r>
          <w:r>
            <w:fldChar w:fldCharType="end"/>
          </w:r>
        </w:p>
        <w:p w14:paraId="29CF7CE2">
          <w:pPr>
            <w:pStyle w:val="16"/>
            <w:rPr>
              <w:rFonts w:asciiTheme="minorHAnsi" w:hAnsiTheme="minorHAnsi" w:eastAsiaTheme="minorEastAsia" w:cstheme="minorBidi"/>
              <w:kern w:val="2"/>
              <w:szCs w:val="22"/>
            </w:rPr>
          </w:pPr>
          <w:r>
            <w:fldChar w:fldCharType="begin"/>
          </w:r>
          <w:r>
            <w:instrText xml:space="preserve"> HYPERLINK \l "_Toc163827825" </w:instrText>
          </w:r>
          <w:r>
            <w:fldChar w:fldCharType="separate"/>
          </w:r>
          <w:r>
            <w:rPr>
              <w:rStyle w:val="27"/>
            </w:rPr>
            <w:t>5.2</w:t>
          </w:r>
          <w:r>
            <w:rPr>
              <w:rFonts w:asciiTheme="minorHAnsi" w:hAnsiTheme="minorHAnsi" w:eastAsiaTheme="minorEastAsia" w:cstheme="minorBidi"/>
              <w:kern w:val="2"/>
              <w:szCs w:val="22"/>
            </w:rPr>
            <w:tab/>
          </w:r>
          <w:r>
            <w:rPr>
              <w:rStyle w:val="27"/>
            </w:rPr>
            <w:t>艾灸温度</w:t>
          </w:r>
          <w:r>
            <w:tab/>
          </w:r>
          <w:r>
            <w:fldChar w:fldCharType="begin"/>
          </w:r>
          <w:r>
            <w:instrText xml:space="preserve"> PAGEREF _Toc163827825 \h </w:instrText>
          </w:r>
          <w:r>
            <w:fldChar w:fldCharType="separate"/>
          </w:r>
          <w:r>
            <w:t>3</w:t>
          </w:r>
          <w:r>
            <w:fldChar w:fldCharType="end"/>
          </w:r>
          <w:r>
            <w:fldChar w:fldCharType="end"/>
          </w:r>
        </w:p>
        <w:p w14:paraId="597EC119">
          <w:pPr>
            <w:pStyle w:val="16"/>
            <w:rPr>
              <w:rFonts w:asciiTheme="minorHAnsi" w:hAnsiTheme="minorHAnsi" w:eastAsiaTheme="minorEastAsia" w:cstheme="minorBidi"/>
              <w:kern w:val="2"/>
              <w:szCs w:val="22"/>
            </w:rPr>
          </w:pPr>
          <w:r>
            <w:fldChar w:fldCharType="begin"/>
          </w:r>
          <w:r>
            <w:instrText xml:space="preserve"> HYPERLINK \l "_Toc163827826" </w:instrText>
          </w:r>
          <w:r>
            <w:fldChar w:fldCharType="separate"/>
          </w:r>
          <w:r>
            <w:rPr>
              <w:rStyle w:val="27"/>
            </w:rPr>
            <w:t>5.3</w:t>
          </w:r>
          <w:r>
            <w:rPr>
              <w:rFonts w:asciiTheme="minorHAnsi" w:hAnsiTheme="minorHAnsi" w:eastAsiaTheme="minorEastAsia" w:cstheme="minorBidi"/>
              <w:kern w:val="2"/>
              <w:szCs w:val="22"/>
            </w:rPr>
            <w:tab/>
          </w:r>
          <w:r>
            <w:rPr>
              <w:rStyle w:val="27"/>
            </w:rPr>
            <w:t>设备材料</w:t>
          </w:r>
          <w:r>
            <w:tab/>
          </w:r>
          <w:r>
            <w:fldChar w:fldCharType="begin"/>
          </w:r>
          <w:r>
            <w:instrText xml:space="preserve"> PAGEREF _Toc163827826 \h </w:instrText>
          </w:r>
          <w:r>
            <w:fldChar w:fldCharType="separate"/>
          </w:r>
          <w:r>
            <w:t>3</w:t>
          </w:r>
          <w:r>
            <w:fldChar w:fldCharType="end"/>
          </w:r>
          <w:r>
            <w:fldChar w:fldCharType="end"/>
          </w:r>
        </w:p>
        <w:p w14:paraId="506261CD">
          <w:pPr>
            <w:pStyle w:val="13"/>
            <w:tabs>
              <w:tab w:val="left" w:pos="840"/>
              <w:tab w:val="right" w:leader="dot" w:pos="9060"/>
            </w:tabs>
            <w:rPr>
              <w:rFonts w:asciiTheme="minorHAnsi" w:hAnsiTheme="minorHAnsi" w:eastAsiaTheme="minorEastAsia" w:cstheme="minorBidi"/>
              <w:kern w:val="2"/>
              <w:szCs w:val="22"/>
            </w:rPr>
          </w:pPr>
          <w:r>
            <w:fldChar w:fldCharType="begin"/>
          </w:r>
          <w:r>
            <w:instrText xml:space="preserve"> HYPERLINK \l "_Toc163827827" </w:instrText>
          </w:r>
          <w:r>
            <w:fldChar w:fldCharType="separate"/>
          </w:r>
          <w:r>
            <w:rPr>
              <w:rStyle w:val="27"/>
            </w:rPr>
            <w:t>6</w:t>
          </w:r>
          <w:r>
            <w:rPr>
              <w:rFonts w:asciiTheme="minorHAnsi" w:hAnsiTheme="minorHAnsi" w:eastAsiaTheme="minorEastAsia" w:cstheme="minorBidi"/>
              <w:kern w:val="2"/>
              <w:szCs w:val="22"/>
            </w:rPr>
            <w:tab/>
          </w:r>
          <w:r>
            <w:rPr>
              <w:rStyle w:val="27"/>
            </w:rPr>
            <w:t>包装和标签</w:t>
          </w:r>
          <w:r>
            <w:rPr>
              <w:rStyle w:val="27"/>
              <w:rFonts w:hint="eastAsia"/>
            </w:rPr>
            <w:t>要求</w:t>
          </w:r>
          <w:r>
            <w:tab/>
          </w:r>
          <w:r>
            <w:fldChar w:fldCharType="begin"/>
          </w:r>
          <w:r>
            <w:instrText xml:space="preserve"> PAGEREF _Toc163827827 \h </w:instrText>
          </w:r>
          <w:r>
            <w:fldChar w:fldCharType="separate"/>
          </w:r>
          <w:r>
            <w:t>3</w:t>
          </w:r>
          <w:r>
            <w:fldChar w:fldCharType="end"/>
          </w:r>
          <w:r>
            <w:fldChar w:fldCharType="end"/>
          </w:r>
        </w:p>
        <w:p w14:paraId="39D3A100">
          <w:pPr>
            <w:pStyle w:val="16"/>
            <w:rPr>
              <w:rFonts w:asciiTheme="minorHAnsi" w:hAnsiTheme="minorHAnsi" w:eastAsiaTheme="minorEastAsia" w:cstheme="minorBidi"/>
              <w:kern w:val="2"/>
              <w:szCs w:val="22"/>
            </w:rPr>
          </w:pPr>
          <w:r>
            <w:fldChar w:fldCharType="begin"/>
          </w:r>
          <w:r>
            <w:instrText xml:space="preserve"> HYPERLINK \l "_Toc163827828" </w:instrText>
          </w:r>
          <w:r>
            <w:fldChar w:fldCharType="separate"/>
          </w:r>
          <w:r>
            <w:rPr>
              <w:rStyle w:val="27"/>
            </w:rPr>
            <w:t>6.1</w:t>
          </w:r>
          <w:r>
            <w:rPr>
              <w:rFonts w:asciiTheme="minorHAnsi" w:hAnsiTheme="minorHAnsi" w:eastAsiaTheme="minorEastAsia" w:cstheme="minorBidi"/>
              <w:kern w:val="2"/>
              <w:szCs w:val="22"/>
            </w:rPr>
            <w:tab/>
          </w:r>
          <w:r>
            <w:rPr>
              <w:rStyle w:val="27"/>
            </w:rPr>
            <w:t>概述</w:t>
          </w:r>
          <w:r>
            <w:tab/>
          </w:r>
          <w:r>
            <w:fldChar w:fldCharType="begin"/>
          </w:r>
          <w:r>
            <w:instrText xml:space="preserve"> PAGEREF _Toc163827828 \h </w:instrText>
          </w:r>
          <w:r>
            <w:fldChar w:fldCharType="separate"/>
          </w:r>
          <w:r>
            <w:t>4</w:t>
          </w:r>
          <w:r>
            <w:fldChar w:fldCharType="end"/>
          </w:r>
          <w:r>
            <w:fldChar w:fldCharType="end"/>
          </w:r>
        </w:p>
        <w:p w14:paraId="45D5B21E">
          <w:pPr>
            <w:pStyle w:val="16"/>
            <w:rPr>
              <w:rFonts w:asciiTheme="minorHAnsi" w:hAnsiTheme="minorHAnsi" w:eastAsiaTheme="minorEastAsia" w:cstheme="minorBidi"/>
              <w:kern w:val="2"/>
              <w:szCs w:val="22"/>
            </w:rPr>
          </w:pPr>
          <w:r>
            <w:fldChar w:fldCharType="begin"/>
          </w:r>
          <w:r>
            <w:instrText xml:space="preserve"> HYPERLINK \l "_Toc163827829" </w:instrText>
          </w:r>
          <w:r>
            <w:fldChar w:fldCharType="separate"/>
          </w:r>
          <w:r>
            <w:rPr>
              <w:rStyle w:val="27"/>
            </w:rPr>
            <w:t>6.2</w:t>
          </w:r>
          <w:r>
            <w:rPr>
              <w:rFonts w:asciiTheme="minorHAnsi" w:hAnsiTheme="minorHAnsi" w:eastAsiaTheme="minorEastAsia" w:cstheme="minorBidi"/>
              <w:kern w:val="2"/>
              <w:szCs w:val="22"/>
            </w:rPr>
            <w:tab/>
          </w:r>
          <w:r>
            <w:rPr>
              <w:rStyle w:val="27"/>
            </w:rPr>
            <w:t>无烟声明</w:t>
          </w:r>
          <w:r>
            <w:tab/>
          </w:r>
          <w:r>
            <w:fldChar w:fldCharType="begin"/>
          </w:r>
          <w:r>
            <w:instrText xml:space="preserve"> PAGEREF _Toc163827829 \h </w:instrText>
          </w:r>
          <w:r>
            <w:fldChar w:fldCharType="separate"/>
          </w:r>
          <w:r>
            <w:t>4</w:t>
          </w:r>
          <w:r>
            <w:fldChar w:fldCharType="end"/>
          </w:r>
          <w:r>
            <w:fldChar w:fldCharType="end"/>
          </w:r>
        </w:p>
        <w:p w14:paraId="46A58DB3">
          <w:pPr>
            <w:pStyle w:val="16"/>
            <w:rPr>
              <w:rFonts w:asciiTheme="minorHAnsi" w:hAnsiTheme="minorHAnsi" w:eastAsiaTheme="minorEastAsia" w:cstheme="minorBidi"/>
              <w:kern w:val="2"/>
              <w:szCs w:val="22"/>
            </w:rPr>
          </w:pPr>
          <w:r>
            <w:fldChar w:fldCharType="begin"/>
          </w:r>
          <w:r>
            <w:instrText xml:space="preserve"> HYPERLINK \l "_Toc163827830" </w:instrText>
          </w:r>
          <w:r>
            <w:fldChar w:fldCharType="separate"/>
          </w:r>
          <w:r>
            <w:rPr>
              <w:rStyle w:val="27"/>
            </w:rPr>
            <w:t>6.3</w:t>
          </w:r>
          <w:r>
            <w:rPr>
              <w:rFonts w:asciiTheme="minorHAnsi" w:hAnsiTheme="minorHAnsi" w:eastAsiaTheme="minorEastAsia" w:cstheme="minorBidi"/>
              <w:kern w:val="2"/>
              <w:szCs w:val="22"/>
            </w:rPr>
            <w:tab/>
          </w:r>
          <w:r>
            <w:rPr>
              <w:rStyle w:val="27"/>
            </w:rPr>
            <w:t>产品</w:t>
          </w:r>
          <w:r>
            <w:rPr>
              <w:rStyle w:val="27"/>
              <w:rFonts w:hint="eastAsia"/>
            </w:rPr>
            <w:t>包装</w:t>
          </w:r>
          <w:r>
            <w:tab/>
          </w:r>
          <w:r>
            <w:fldChar w:fldCharType="begin"/>
          </w:r>
          <w:r>
            <w:instrText xml:space="preserve"> PAGEREF _Toc163827830 \h </w:instrText>
          </w:r>
          <w:r>
            <w:fldChar w:fldCharType="separate"/>
          </w:r>
          <w:r>
            <w:t>4</w:t>
          </w:r>
          <w:r>
            <w:fldChar w:fldCharType="end"/>
          </w:r>
          <w:r>
            <w:fldChar w:fldCharType="end"/>
          </w:r>
        </w:p>
        <w:p w14:paraId="17CF8A1E">
          <w:pPr>
            <w:pStyle w:val="13"/>
            <w:tabs>
              <w:tab w:val="right" w:leader="dot" w:pos="9060"/>
            </w:tabs>
            <w:rPr>
              <w:rFonts w:asciiTheme="minorHAnsi" w:hAnsiTheme="minorHAnsi" w:eastAsiaTheme="minorEastAsia" w:cstheme="minorBidi"/>
              <w:kern w:val="2"/>
              <w:szCs w:val="22"/>
            </w:rPr>
          </w:pPr>
          <w:r>
            <w:fldChar w:fldCharType="begin"/>
          </w:r>
          <w:r>
            <w:instrText xml:space="preserve"> HYPERLINK \l "_Toc163827831" </w:instrText>
          </w:r>
          <w:r>
            <w:fldChar w:fldCharType="separate"/>
          </w:r>
          <w:r>
            <w:rPr>
              <w:rStyle w:val="27"/>
            </w:rPr>
            <w:t>附　录　A （资料性） 室内空气质量标准</w:t>
          </w:r>
          <w:r>
            <w:tab/>
          </w:r>
          <w:r>
            <w:fldChar w:fldCharType="begin"/>
          </w:r>
          <w:r>
            <w:instrText xml:space="preserve"> PAGEREF _Toc163827831 \h </w:instrText>
          </w:r>
          <w:r>
            <w:fldChar w:fldCharType="separate"/>
          </w:r>
          <w:r>
            <w:t>5</w:t>
          </w:r>
          <w:r>
            <w:fldChar w:fldCharType="end"/>
          </w:r>
          <w:r>
            <w:fldChar w:fldCharType="end"/>
          </w:r>
        </w:p>
        <w:p w14:paraId="0DE47737">
          <w:pPr>
            <w:pStyle w:val="13"/>
            <w:tabs>
              <w:tab w:val="right" w:leader="dot" w:pos="9060"/>
            </w:tabs>
            <w:rPr>
              <w:rFonts w:asciiTheme="minorHAnsi" w:hAnsiTheme="minorHAnsi" w:eastAsiaTheme="minorEastAsia" w:cstheme="minorBidi"/>
              <w:kern w:val="2"/>
              <w:szCs w:val="22"/>
            </w:rPr>
          </w:pPr>
          <w:r>
            <w:fldChar w:fldCharType="begin"/>
          </w:r>
          <w:r>
            <w:instrText xml:space="preserve"> HYPERLINK \l "_Toc163827832" </w:instrText>
          </w:r>
          <w:r>
            <w:fldChar w:fldCharType="separate"/>
          </w:r>
          <w:r>
            <w:rPr>
              <w:rStyle w:val="27"/>
            </w:rPr>
            <w:t>附　录　B （规范性） 艾烟密度测量的试验方法</w:t>
          </w:r>
          <w:r>
            <w:tab/>
          </w:r>
          <w:r>
            <w:fldChar w:fldCharType="begin"/>
          </w:r>
          <w:r>
            <w:instrText xml:space="preserve"> PAGEREF _Toc163827832 \h </w:instrText>
          </w:r>
          <w:r>
            <w:fldChar w:fldCharType="separate"/>
          </w:r>
          <w:r>
            <w:t>7</w:t>
          </w:r>
          <w:r>
            <w:fldChar w:fldCharType="end"/>
          </w:r>
          <w:r>
            <w:fldChar w:fldCharType="end"/>
          </w:r>
        </w:p>
        <w:p w14:paraId="586A7282">
          <w:pPr>
            <w:pStyle w:val="13"/>
            <w:tabs>
              <w:tab w:val="right" w:leader="dot" w:pos="9060"/>
            </w:tabs>
            <w:rPr>
              <w:rFonts w:asciiTheme="minorHAnsi" w:hAnsiTheme="minorHAnsi" w:eastAsiaTheme="minorEastAsia" w:cstheme="minorBidi"/>
              <w:kern w:val="2"/>
              <w:szCs w:val="22"/>
            </w:rPr>
          </w:pPr>
          <w:r>
            <w:fldChar w:fldCharType="begin"/>
          </w:r>
          <w:r>
            <w:instrText xml:space="preserve"> HYPERLINK \l "_Toc163827833" </w:instrText>
          </w:r>
          <w:r>
            <w:fldChar w:fldCharType="separate"/>
          </w:r>
          <w:r>
            <w:rPr>
              <w:rStyle w:val="27"/>
            </w:rPr>
            <w:t>附　录　C （规范性） 艾烟产生的试验方法</w:t>
          </w:r>
          <w:r>
            <w:tab/>
          </w:r>
          <w:r>
            <w:fldChar w:fldCharType="begin"/>
          </w:r>
          <w:r>
            <w:instrText xml:space="preserve"> PAGEREF _Toc163827833 \h </w:instrText>
          </w:r>
          <w:r>
            <w:fldChar w:fldCharType="separate"/>
          </w:r>
          <w:r>
            <w:t>11</w:t>
          </w:r>
          <w:r>
            <w:fldChar w:fldCharType="end"/>
          </w:r>
          <w:r>
            <w:fldChar w:fldCharType="end"/>
          </w:r>
          <w:bookmarkEnd w:id="9"/>
        </w:p>
        <w:p w14:paraId="02756A31">
          <w:pPr>
            <w:pStyle w:val="13"/>
            <w:tabs>
              <w:tab w:val="right" w:leader="dot" w:pos="9060"/>
            </w:tabs>
            <w:rPr>
              <w:rFonts w:asciiTheme="minorHAnsi" w:hAnsiTheme="minorHAnsi" w:eastAsiaTheme="minorEastAsia" w:cstheme="minorBidi"/>
              <w:kern w:val="2"/>
              <w:szCs w:val="22"/>
            </w:rPr>
          </w:pPr>
          <w:r>
            <w:fldChar w:fldCharType="begin"/>
          </w:r>
          <w:r>
            <w:instrText xml:space="preserve"> HYPERLINK \l "_Toc163827834" </w:instrText>
          </w:r>
          <w:r>
            <w:fldChar w:fldCharType="separate"/>
          </w:r>
          <w:r>
            <w:rPr>
              <w:rStyle w:val="27"/>
              <w:rFonts w:ascii="黑体" w:eastAsia="黑体"/>
            </w:rPr>
            <w:t>参 考 文 献</w:t>
          </w:r>
          <w:r>
            <w:tab/>
          </w:r>
          <w:r>
            <w:fldChar w:fldCharType="begin"/>
          </w:r>
          <w:r>
            <w:instrText xml:space="preserve"> PAGEREF _Toc163827834 \h </w:instrText>
          </w:r>
          <w:r>
            <w:fldChar w:fldCharType="separate"/>
          </w:r>
          <w:r>
            <w:t>14</w:t>
          </w:r>
          <w:r>
            <w:fldChar w:fldCharType="end"/>
          </w:r>
          <w:r>
            <w:fldChar w:fldCharType="end"/>
          </w:r>
        </w:p>
        <w:p w14:paraId="1A9EAF04">
          <w:pPr>
            <w:spacing w:line="288" w:lineRule="auto"/>
            <w:rPr>
              <w:color w:val="000000" w:themeColor="text1"/>
              <w14:textFill>
                <w14:solidFill>
                  <w14:schemeClr w14:val="tx1"/>
                </w14:solidFill>
              </w14:textFill>
            </w:rPr>
          </w:pPr>
          <w:r>
            <w:rPr>
              <w:rFonts w:hAnsi="宋体"/>
              <w:color w:val="000000" w:themeColor="text1"/>
              <w14:textFill>
                <w14:solidFill>
                  <w14:schemeClr w14:val="tx1"/>
                </w14:solidFill>
              </w14:textFill>
            </w:rPr>
            <w:fldChar w:fldCharType="end"/>
          </w:r>
        </w:p>
      </w:sdtContent>
    </w:sdt>
    <w:p w14:paraId="1D128F5F">
      <w:pPr>
        <w:rPr>
          <w:color w:val="000000" w:themeColor="text1"/>
          <w14:textFill>
            <w14:solidFill>
              <w14:schemeClr w14:val="tx1"/>
            </w14:solidFill>
          </w14:textFill>
        </w:rPr>
      </w:pPr>
    </w:p>
    <w:p w14:paraId="4ECCF392">
      <w:pPr>
        <w:keepNext/>
        <w:pageBreakBefore/>
        <w:shd w:val="clear" w:color="FFFFFF" w:fill="FFFFFF"/>
        <w:spacing w:before="640" w:after="560" w:line="460" w:lineRule="exact"/>
        <w:ind w:firstLine="640"/>
        <w:jc w:val="center"/>
        <w:outlineLvl w:val="0"/>
        <w:rPr>
          <w:rFonts w:ascii="黑体" w:eastAsia="黑体"/>
          <w:color w:val="000000" w:themeColor="text1"/>
          <w:sz w:val="32"/>
          <w14:textFill>
            <w14:solidFill>
              <w14:schemeClr w14:val="tx1"/>
            </w14:solidFill>
          </w14:textFill>
        </w:rPr>
        <w:sectPr>
          <w:footerReference r:id="rId12" w:type="default"/>
          <w:headerReference r:id="rId11" w:type="even"/>
          <w:footerReference r:id="rId13" w:type="even"/>
          <w:pgSz w:w="11906" w:h="16838"/>
          <w:pgMar w:top="1418" w:right="1418" w:bottom="1418" w:left="1418" w:header="881" w:footer="641" w:gutter="0"/>
          <w:pgNumType w:fmt="upperRoman" w:start="1"/>
          <w:cols w:space="425" w:num="1"/>
          <w:formProt w:val="0"/>
          <w:docGrid w:type="lines" w:linePitch="312" w:charSpace="0"/>
        </w:sectPr>
      </w:pPr>
      <w:bookmarkStart w:id="10" w:name="_Toc61105706"/>
      <w:bookmarkStart w:id="11" w:name="_Toc43424584"/>
      <w:bookmarkStart w:id="12" w:name="_Toc43424899"/>
      <w:bookmarkStart w:id="13" w:name="_Toc509328253"/>
      <w:bookmarkStart w:id="14" w:name="_Toc61098531"/>
      <w:bookmarkStart w:id="15" w:name="_Toc61106046"/>
      <w:bookmarkStart w:id="16" w:name="_Toc43424745"/>
      <w:bookmarkStart w:id="17" w:name="_Toc43424460"/>
      <w:bookmarkStart w:id="18" w:name="_Toc408863771"/>
    </w:p>
    <w:p w14:paraId="1FEF9694">
      <w:pPr>
        <w:keepNext/>
        <w:pageBreakBefore/>
        <w:shd w:val="clear" w:color="FFFFFF" w:fill="FFFFFF"/>
        <w:spacing w:before="640" w:after="560" w:line="460" w:lineRule="exact"/>
        <w:ind w:left="3826" w:leftChars="1822" w:right="3967" w:rightChars="1889" w:firstLine="0" w:firstLineChars="0"/>
        <w:jc w:val="distribute"/>
        <w:outlineLvl w:val="0"/>
        <w:rPr>
          <w:rFonts w:ascii="黑体" w:eastAsia="黑体"/>
          <w:color w:val="000000" w:themeColor="text1"/>
          <w:sz w:val="32"/>
          <w14:textFill>
            <w14:solidFill>
              <w14:schemeClr w14:val="tx1"/>
            </w14:solidFill>
          </w14:textFill>
        </w:rPr>
      </w:pPr>
      <w:bookmarkStart w:id="19" w:name="_Toc163827814"/>
      <w:r>
        <w:rPr>
          <w:rFonts w:hint="eastAsia" w:ascii="黑体" w:eastAsia="黑体"/>
          <w:color w:val="000000" w:themeColor="text1"/>
          <w:sz w:val="32"/>
          <w14:textFill>
            <w14:solidFill>
              <w14:schemeClr w14:val="tx1"/>
            </w14:solidFill>
          </w14:textFill>
        </w:rPr>
        <w:t>前言</w:t>
      </w:r>
      <w:bookmarkEnd w:id="10"/>
      <w:bookmarkEnd w:id="11"/>
      <w:bookmarkEnd w:id="12"/>
      <w:bookmarkEnd w:id="13"/>
      <w:bookmarkEnd w:id="14"/>
      <w:bookmarkEnd w:id="15"/>
      <w:bookmarkEnd w:id="16"/>
      <w:bookmarkEnd w:id="17"/>
      <w:bookmarkEnd w:id="19"/>
    </w:p>
    <w:p w14:paraId="6761FD8D">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《标准化工作导则 第1部分：标准化文件的结构和起草规则》的规定起草。</w:t>
      </w:r>
    </w:p>
    <w:p w14:paraId="364C6967">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本文件采用翻译法修改采用ISO 21366：2019《中医药 无烟艾灸仪的通用要求》。</w:t>
      </w:r>
    </w:p>
    <w:p w14:paraId="0B452351">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请注意本文件的某些内容可能涉及专利。本文件的发布机构不承担识别专利的责任。</w:t>
      </w:r>
    </w:p>
    <w:p w14:paraId="27C46DDC">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本文件由广东省中医药局提出并组织实施。</w:t>
      </w:r>
    </w:p>
    <w:p w14:paraId="1467866F">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本文件由广东省中医标准化技术委员会（GD/TC31）归口。</w:t>
      </w:r>
    </w:p>
    <w:p w14:paraId="2DD641A2">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本文件起草单位：广东省中医院（广州中医药大学第二附属医院）。</w:t>
      </w:r>
    </w:p>
    <w:p w14:paraId="201E3854">
      <w:pPr>
        <w:spacing w:line="30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7DE45EDC">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3325535C">
      <w:pPr>
        <w:keepNext/>
        <w:pageBreakBefore/>
        <w:shd w:val="clear" w:color="FFFFFF" w:fill="FFFFFF"/>
        <w:spacing w:before="2280" w:after="560" w:line="460" w:lineRule="exact"/>
        <w:ind w:left="3826" w:leftChars="1822" w:right="3967" w:rightChars="1889" w:firstLine="0" w:firstLineChars="0"/>
        <w:jc w:val="distribute"/>
        <w:outlineLvl w:val="0"/>
        <w:rPr>
          <w:rFonts w:ascii="黑体" w:eastAsia="黑体"/>
          <w:color w:val="000000" w:themeColor="text1"/>
          <w:sz w:val="32"/>
          <w14:textFill>
            <w14:solidFill>
              <w14:schemeClr w14:val="tx1"/>
            </w14:solidFill>
          </w14:textFill>
        </w:rPr>
      </w:pPr>
      <w:bookmarkStart w:id="20" w:name="_Toc509328254"/>
      <w:bookmarkStart w:id="21" w:name="_Toc43424900"/>
      <w:bookmarkStart w:id="22" w:name="_Toc43424585"/>
      <w:bookmarkStart w:id="23" w:name="_Toc61105707"/>
      <w:bookmarkStart w:id="24" w:name="_Toc163827815"/>
      <w:bookmarkStart w:id="25" w:name="_Toc61106047"/>
      <w:bookmarkStart w:id="26" w:name="_Toc61098532"/>
      <w:bookmarkStart w:id="27" w:name="_Toc43424461"/>
      <w:bookmarkStart w:id="28" w:name="_Toc43424746"/>
      <w:r>
        <w:rPr>
          <w:rFonts w:hint="eastAsia" w:ascii="黑体" w:eastAsia="黑体"/>
          <w:color w:val="000000" w:themeColor="text1"/>
          <w:sz w:val="32"/>
          <w14:textFill>
            <w14:solidFill>
              <w14:schemeClr w14:val="tx1"/>
            </w14:solidFill>
          </w14:textFill>
        </w:rPr>
        <w:t>引</w:t>
      </w:r>
      <w:bookmarkStart w:id="29" w:name="BKYY"/>
      <w:r>
        <w:rPr>
          <w:rFonts w:hint="eastAsia" w:ascii="黑体" w:eastAsia="黑体"/>
          <w:color w:val="000000" w:themeColor="text1"/>
          <w:sz w:val="32"/>
          <w14:textFill>
            <w14:solidFill>
              <w14:schemeClr w14:val="tx1"/>
            </w14:solidFill>
          </w14:textFill>
        </w:rPr>
        <w:t>言</w:t>
      </w:r>
      <w:bookmarkEnd w:id="18"/>
      <w:bookmarkEnd w:id="20"/>
      <w:bookmarkEnd w:id="21"/>
      <w:bookmarkEnd w:id="22"/>
      <w:bookmarkEnd w:id="23"/>
      <w:bookmarkEnd w:id="24"/>
      <w:bookmarkEnd w:id="25"/>
      <w:bookmarkEnd w:id="26"/>
      <w:bookmarkEnd w:id="27"/>
      <w:bookmarkEnd w:id="28"/>
      <w:bookmarkEnd w:id="29"/>
    </w:p>
    <w:p w14:paraId="5D298BF9">
      <w:pPr>
        <w:spacing w:line="276"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艾灸是主要的中医疗法之一。为了提升艾灸便利易用性，人们常使用的艾条、艾柱安装在艾灸仪内，固定、点燃后，固定于体表进行艾灸。</w:t>
      </w:r>
    </w:p>
    <w:p w14:paraId="6376C744">
      <w:pPr>
        <w:spacing w:line="276"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传统艾灸仪会产生艾烟与气味。这可能导致部分患有呼吸系统疾病的患者病情加重；且部分中医养生保健机构等场所室内的消防烟感系统有烟雾水平的限制。为适应少烟、无烟需求，无烟艾灸仪应运而生。这类艾灸仪具有无烟、气味显著减少的优点，也提升了无烟艾灸仪的安全性，受到当代消费者以及医疗保健机构青睐。无烟艾灸仪采用过滤或燃烧碳化艾条等不同措施减少艾烟。然而，目前市面上各类所谓“无烟艾灸仪”质量水平参差不齐，缺乏关于“无烟”的技术规范。本文件为无烟艾灸仪提出了烟雾检测方法与水平要求，填补了该领域空白，有助于提高无烟艾灸仪产品质量、保护消费者安全，为该类器械的生产与销售管理提供依据。</w:t>
      </w:r>
    </w:p>
    <w:p w14:paraId="420351F9">
      <w:pPr>
        <w:spacing w:line="276" w:lineRule="auto"/>
        <w:jc w:val="left"/>
        <w:rPr>
          <w:color w:val="000000" w:themeColor="text1"/>
          <w14:textFill>
            <w14:solidFill>
              <w14:schemeClr w14:val="tx1"/>
            </w14:solidFill>
          </w14:textFill>
        </w:rPr>
        <w:sectPr>
          <w:type w:val="oddPage"/>
          <w:pgSz w:w="11906" w:h="16838"/>
          <w:pgMar w:top="1625" w:right="1418" w:bottom="1418" w:left="1418" w:header="1135" w:footer="641" w:gutter="0"/>
          <w:pgNumType w:fmt="upperRoman"/>
          <w:cols w:space="425" w:num="1"/>
          <w:formProt w:val="0"/>
          <w:docGrid w:type="lines" w:linePitch="312" w:charSpace="0"/>
        </w:sectPr>
      </w:pPr>
    </w:p>
    <w:p w14:paraId="1539320A">
      <w:pPr>
        <w:spacing w:before="468" w:beforeLines="150" w:after="468" w:afterLines="150"/>
        <w:ind w:firstLine="0" w:firstLineChars="0"/>
        <w:jc w:val="center"/>
        <w:rPr>
          <w:rFonts w:ascii="黑体" w:hAnsi="黑体" w:eastAsia="黑体"/>
          <w:color w:val="000000" w:themeColor="text1"/>
          <w:sz w:val="32"/>
          <w:szCs w:val="32"/>
          <w14:textFill>
            <w14:solidFill>
              <w14:schemeClr w14:val="tx1"/>
            </w14:solidFill>
          </w14:textFill>
        </w:rPr>
      </w:pPr>
      <w:bookmarkStart w:id="30" w:name="_Hlk43426011"/>
      <w:r>
        <w:rPr>
          <w:rFonts w:hint="eastAsia" w:ascii="黑体" w:hAnsi="黑体" w:eastAsia="黑体"/>
          <w:color w:val="000000" w:themeColor="text1"/>
          <w:sz w:val="32"/>
          <w:szCs w:val="32"/>
          <w14:textFill>
            <w14:solidFill>
              <w14:schemeClr w14:val="tx1"/>
            </w14:solidFill>
          </w14:textFill>
        </w:rPr>
        <w:t>艾灸仪 无烟检测技术</w:t>
      </w:r>
    </w:p>
    <w:bookmarkEnd w:id="30"/>
    <w:p w14:paraId="6053B087">
      <w:pPr>
        <w:pStyle w:val="55"/>
        <w:spacing w:before="156" w:after="156"/>
        <w:rPr>
          <w:color w:val="000000" w:themeColor="text1"/>
          <w14:textFill>
            <w14:solidFill>
              <w14:schemeClr w14:val="tx1"/>
            </w14:solidFill>
          </w14:textFill>
        </w:rPr>
      </w:pPr>
      <w:bookmarkStart w:id="31" w:name="_Toc43424586"/>
      <w:bookmarkStart w:id="32" w:name="_Toc43424901"/>
      <w:bookmarkStart w:id="33" w:name="_Toc163827816"/>
      <w:bookmarkStart w:id="34" w:name="_Toc408863772"/>
      <w:bookmarkStart w:id="35" w:name="_Toc43424747"/>
      <w:bookmarkStart w:id="36" w:name="_Toc61105708"/>
      <w:bookmarkStart w:id="37" w:name="_Toc61106048"/>
      <w:bookmarkStart w:id="38" w:name="_Toc509328256"/>
      <w:bookmarkStart w:id="39" w:name="_Toc408863744"/>
      <w:bookmarkStart w:id="40" w:name="_Toc61098533"/>
      <w:bookmarkStart w:id="41" w:name="_Toc43424462"/>
      <w:bookmarkStart w:id="42" w:name="_Toc61106049"/>
      <w:bookmarkStart w:id="43" w:name="_Toc61105709"/>
      <w:bookmarkStart w:id="44" w:name="_Toc43424748"/>
      <w:bookmarkStart w:id="45" w:name="_Toc61098534"/>
      <w:bookmarkStart w:id="46" w:name="_Toc509328257"/>
      <w:bookmarkStart w:id="47" w:name="_Toc43424463"/>
      <w:bookmarkStart w:id="48" w:name="_Toc408863774"/>
      <w:bookmarkStart w:id="49" w:name="_Toc43424587"/>
      <w:bookmarkStart w:id="50" w:name="_Toc408863746"/>
      <w:bookmarkStart w:id="51" w:name="_Toc43424902"/>
      <w:r>
        <w:rPr>
          <w:rFonts w:hint="eastAsia"/>
          <w:color w:val="000000" w:themeColor="text1"/>
          <w14:textFill>
            <w14:solidFill>
              <w14:schemeClr w14:val="tx1"/>
            </w14:solidFill>
          </w14:textFill>
        </w:rPr>
        <w:t>范围</w:t>
      </w:r>
      <w:bookmarkEnd w:id="31"/>
      <w:bookmarkEnd w:id="32"/>
      <w:bookmarkEnd w:id="33"/>
      <w:bookmarkEnd w:id="34"/>
      <w:bookmarkEnd w:id="35"/>
      <w:bookmarkEnd w:id="36"/>
      <w:bookmarkEnd w:id="37"/>
      <w:bookmarkEnd w:id="38"/>
      <w:bookmarkEnd w:id="39"/>
      <w:bookmarkEnd w:id="40"/>
      <w:bookmarkEnd w:id="41"/>
    </w:p>
    <w:p w14:paraId="1D4A4A27">
      <w:pPr>
        <w:spacing w:line="27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本文件规定了确保无烟艾灸仪性能和安全的一般要求，包括了烟密度、艾灸温度、有害气体的测试方法。</w:t>
      </w:r>
    </w:p>
    <w:p w14:paraId="69272280">
      <w:pPr>
        <w:spacing w:line="276" w:lineRule="auto"/>
        <w:rPr>
          <w:color w:val="000000" w:themeColor="text1"/>
          <w14:textFill>
            <w14:solidFill>
              <w14:schemeClr w14:val="tx1"/>
            </w14:solidFill>
          </w14:textFill>
        </w:rPr>
      </w:pPr>
      <w:bookmarkStart w:id="52" w:name="_Hlk163815706"/>
      <w:r>
        <w:rPr>
          <w:rFonts w:hint="eastAsia"/>
          <w:color w:val="000000" w:themeColor="text1"/>
          <w14:textFill>
            <w14:solidFill>
              <w14:schemeClr w14:val="tx1"/>
            </w14:solidFill>
          </w14:textFill>
        </w:rPr>
        <w:t>本文件适用于以燃烧艾绒或其制品为热源的有源艾灸仪。</w:t>
      </w:r>
    </w:p>
    <w:bookmarkEnd w:id="52"/>
    <w:p w14:paraId="2B9905B5">
      <w:pPr>
        <w:pStyle w:val="55"/>
        <w:spacing w:before="156" w:after="156"/>
        <w:rPr>
          <w:color w:val="000000" w:themeColor="text1"/>
          <w14:textFill>
            <w14:solidFill>
              <w14:schemeClr w14:val="tx1"/>
            </w14:solidFill>
          </w14:textFill>
        </w:rPr>
      </w:pPr>
      <w:bookmarkStart w:id="53" w:name="_Toc163827817"/>
      <w:r>
        <w:rPr>
          <w:rFonts w:hint="eastAsia"/>
          <w:color w:val="000000" w:themeColor="text1"/>
          <w14:textFill>
            <w14:solidFill>
              <w14:schemeClr w14:val="tx1"/>
            </w14:solidFill>
          </w14:textFill>
        </w:rPr>
        <w:t>规范性引用</w:t>
      </w:r>
      <w:bookmarkEnd w:id="42"/>
      <w:bookmarkEnd w:id="43"/>
      <w:r>
        <w:rPr>
          <w:rFonts w:hint="eastAsia"/>
          <w:color w:val="000000" w:themeColor="text1"/>
          <w14:textFill>
            <w14:solidFill>
              <w14:schemeClr w14:val="tx1"/>
            </w14:solidFill>
          </w14:textFill>
        </w:rPr>
        <w:t>文件</w:t>
      </w:r>
      <w:bookmarkEnd w:id="53"/>
    </w:p>
    <w:p w14:paraId="39E507FC">
      <w:pPr>
        <w:spacing w:line="27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521828D">
      <w:pPr>
        <w:spacing w:line="276" w:lineRule="auto"/>
        <w:rPr>
          <w:color w:val="000000" w:themeColor="text1"/>
          <w14:textFill>
            <w14:solidFill>
              <w14:schemeClr w14:val="tx1"/>
            </w14:solidFill>
          </w14:textFill>
        </w:rPr>
      </w:pPr>
      <w:bookmarkStart w:id="54" w:name="OLE_LINK2"/>
      <w:bookmarkStart w:id="55" w:name="OLE_LINK1"/>
      <w:r>
        <w:rPr>
          <w:rFonts w:hint="eastAsia"/>
          <w:color w:val="000000" w:themeColor="text1"/>
          <w14:textFill>
            <w14:solidFill>
              <w14:schemeClr w14:val="tx1"/>
            </w14:solidFill>
          </w14:textFill>
        </w:rPr>
        <w:t>ISO 16000-4：2</w:t>
      </w:r>
      <w:r>
        <w:rPr>
          <w:color w:val="000000" w:themeColor="text1"/>
          <w14:textFill>
            <w14:solidFill>
              <w14:schemeClr w14:val="tx1"/>
            </w14:solidFill>
          </w14:textFill>
        </w:rPr>
        <w:t>011</w:t>
      </w:r>
      <w:r>
        <w:rPr>
          <w:rFonts w:hint="eastAsia"/>
          <w:color w:val="000000" w:themeColor="text1"/>
          <w14:textFill>
            <w14:solidFill>
              <w14:schemeClr w14:val="tx1"/>
            </w14:solidFill>
          </w14:textFill>
        </w:rPr>
        <w:t xml:space="preserve"> 室内空气－第4部分：甲醛的测定－散布性采样法（</w:t>
      </w:r>
      <w:r>
        <w:rPr>
          <w:color w:val="000000" w:themeColor="text1"/>
          <w14:textFill>
            <w14:solidFill>
              <w14:schemeClr w14:val="tx1"/>
            </w14:solidFill>
          </w14:textFill>
        </w:rPr>
        <w:t>Indoor air - Part 4: Determination of formaldehyde - Diffusive sampling method</w:t>
      </w:r>
      <w:r>
        <w:rPr>
          <w:rFonts w:hint="eastAsia"/>
          <w:color w:val="000000" w:themeColor="text1"/>
          <w14:textFill>
            <w14:solidFill>
              <w14:schemeClr w14:val="tx1"/>
            </w14:solidFill>
          </w14:textFill>
        </w:rPr>
        <w:t>）</w:t>
      </w:r>
    </w:p>
    <w:p w14:paraId="393C2522">
      <w:pPr>
        <w:spacing w:line="27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ISO 16000-6</w:t>
      </w:r>
      <w:r>
        <w:rPr>
          <w:color w:val="000000" w:themeColor="text1"/>
          <w14:textFill>
            <w14:solidFill>
              <w14:schemeClr w14:val="tx1"/>
            </w14:solidFill>
          </w14:textFill>
        </w:rPr>
        <w:t xml:space="preserve">:2021 </w:t>
      </w:r>
      <w:r>
        <w:rPr>
          <w:rFonts w:hint="eastAsia"/>
          <w:color w:val="000000" w:themeColor="text1"/>
          <w14:textFill>
            <w14:solidFill>
              <w14:schemeClr w14:val="tx1"/>
            </w14:solidFill>
          </w14:textFill>
        </w:rPr>
        <w:t>室内空气－第6部分：通过</w:t>
      </w:r>
      <w:r>
        <w:rPr>
          <w:color w:val="000000" w:themeColor="text1"/>
          <w14:textFill>
            <w14:solidFill>
              <w14:schemeClr w14:val="tx1"/>
            </w14:solidFill>
          </w14:textFill>
        </w:rPr>
        <w:t>MS</w:t>
      </w:r>
      <w:r>
        <w:rPr>
          <w:rFonts w:hint="eastAsia"/>
          <w:color w:val="000000" w:themeColor="text1"/>
          <w14:textFill>
            <w14:solidFill>
              <w14:schemeClr w14:val="tx1"/>
            </w14:solidFill>
          </w14:textFill>
        </w:rPr>
        <w:t>或</w:t>
      </w:r>
      <w:r>
        <w:rPr>
          <w:color w:val="000000" w:themeColor="text1"/>
          <w14:textFill>
            <w14:solidFill>
              <w14:schemeClr w14:val="tx1"/>
            </w14:solidFill>
          </w14:textFill>
        </w:rPr>
        <w:t>MS FID</w:t>
      </w:r>
      <w:r>
        <w:rPr>
          <w:rFonts w:hint="eastAsia"/>
          <w:color w:val="000000" w:themeColor="text1"/>
          <w14:textFill>
            <w14:solidFill>
              <w14:schemeClr w14:val="tx1"/>
            </w14:solidFill>
          </w14:textFill>
        </w:rPr>
        <w:t>吸收剂动态取样、热吸解和MS/FID气相色谱法测定室内和实验室空气中挥发性有机化合物的含量</w:t>
      </w:r>
      <w:r>
        <w:rPr>
          <w:color w:val="000000" w:themeColor="text1"/>
          <w14:textFill>
            <w14:solidFill>
              <w14:schemeClr w14:val="tx1"/>
            </w14:solidFill>
          </w14:textFill>
        </w:rPr>
        <w:t>[Indoor air - Part 6: Determination of organic compounds (VVOC, VOC, SVOC) in indoor and test chamber air by active sampling on sorbent tubes, thermal desorption and gas chromatography using MS or MS FID]</w:t>
      </w:r>
    </w:p>
    <w:p w14:paraId="1F8F3C8D">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ISO 18666:2021</w:t>
      </w:r>
      <w:r>
        <w:rPr>
          <w:rFonts w:hint="eastAsia"/>
          <w:color w:val="000000" w:themeColor="text1"/>
          <w14:textFill>
            <w14:solidFill>
              <w14:schemeClr w14:val="tx1"/>
            </w14:solidFill>
          </w14:textFill>
        </w:rPr>
        <w:t xml:space="preserve"> 中医-艾灸仪的一般要求（Traditional</w:t>
      </w:r>
      <w:r>
        <w:rPr>
          <w:color w:val="000000" w:themeColor="text1"/>
          <w14:textFill>
            <w14:solidFill>
              <w14:schemeClr w14:val="tx1"/>
            </w14:solidFill>
          </w14:textFill>
        </w:rPr>
        <w:t xml:space="preserve"> Chinese medicine – General requirements for moxibustion devices</w:t>
      </w:r>
      <w:r>
        <w:rPr>
          <w:rFonts w:hint="eastAsia"/>
          <w:color w:val="000000" w:themeColor="text1"/>
          <w14:textFill>
            <w14:solidFill>
              <w14:schemeClr w14:val="tx1"/>
            </w14:solidFill>
          </w14:textFill>
        </w:rPr>
        <w:t>）</w:t>
      </w:r>
    </w:p>
    <w:p w14:paraId="4D476F45">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 xml:space="preserve">GB/T 4857.5/ISO 2248 </w:t>
      </w:r>
      <w:r>
        <w:rPr>
          <w:rFonts w:hint="eastAsia"/>
          <w:color w:val="000000" w:themeColor="text1"/>
          <w14:textFill>
            <w14:solidFill>
              <w14:schemeClr w14:val="tx1"/>
            </w14:solidFill>
          </w14:textFill>
        </w:rPr>
        <w:t>包装 运输包装件 跌落试验方法</w:t>
      </w:r>
    </w:p>
    <w:p w14:paraId="20CDE05C">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GB/T 8323.2-2008/ISO 5659-2:2017</w:t>
      </w:r>
      <w:r>
        <w:rPr>
          <w:rFonts w:hint="eastAsia"/>
          <w:color w:val="000000" w:themeColor="text1"/>
          <w14:textFill>
            <w14:solidFill>
              <w14:schemeClr w14:val="tx1"/>
            </w14:solidFill>
          </w14:textFill>
        </w:rPr>
        <w:t xml:space="preserve"> 塑料 烟生成 第2部分：单室法测定烟密度试验方法</w:t>
      </w:r>
    </w:p>
    <w:p w14:paraId="12080657">
      <w:pPr>
        <w:spacing w:line="27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GB 4717</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2005</w:t>
      </w:r>
      <w:r>
        <w:rPr>
          <w:color w:val="000000" w:themeColor="text1"/>
          <w14:textFill>
            <w14:solidFill>
              <w14:schemeClr w14:val="tx1"/>
            </w14:solidFill>
          </w14:textFill>
        </w:rPr>
        <w:t>/ISO 7240-2</w:t>
      </w:r>
      <w:r>
        <w:rPr>
          <w:rFonts w:hint="eastAsia"/>
          <w:color w:val="000000" w:themeColor="text1"/>
          <w14:textFill>
            <w14:solidFill>
              <w14:schemeClr w14:val="tx1"/>
            </w14:solidFill>
          </w14:textFill>
        </w:rPr>
        <w:t xml:space="preserve"> 火灾报警控制器</w:t>
      </w:r>
    </w:p>
    <w:p w14:paraId="5091524F">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GB 4715-2005/</w:t>
      </w:r>
      <w:r>
        <w:rPr>
          <w:rFonts w:hint="eastAsia"/>
          <w:color w:val="000000" w:themeColor="text1"/>
          <w14:textFill>
            <w14:solidFill>
              <w14:schemeClr w14:val="tx1"/>
            </w14:solidFill>
          </w14:textFill>
        </w:rPr>
        <w:t>ISO 7240-7:2018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点型感烟火灾探测器</w:t>
      </w:r>
    </w:p>
    <w:p w14:paraId="3DB4D1FE">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GB/T 43905.2-2024/</w:t>
      </w:r>
      <w:r>
        <w:rPr>
          <w:rFonts w:hint="eastAsia"/>
          <w:color w:val="000000" w:themeColor="text1"/>
          <w14:textFill>
            <w14:solidFill>
              <w14:schemeClr w14:val="tx1"/>
            </w14:solidFill>
          </w14:textFill>
        </w:rPr>
        <w:t>ISO 15011-2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焊接及相关工艺中烟尘和气体取样的实验室方法　第2部分：电弧焊、切割及气刨中一氧化碳、二氧化碳、一氧化氮、二氧化氮排放速率的测定</w:t>
      </w:r>
    </w:p>
    <w:bookmarkEnd w:id="54"/>
    <w:bookmarkEnd w:id="55"/>
    <w:p w14:paraId="36505090">
      <w:pPr>
        <w:pStyle w:val="55"/>
        <w:spacing w:before="156" w:after="156"/>
        <w:rPr>
          <w:color w:val="000000" w:themeColor="text1"/>
          <w14:textFill>
            <w14:solidFill>
              <w14:schemeClr w14:val="tx1"/>
            </w14:solidFill>
          </w14:textFill>
        </w:rPr>
      </w:pPr>
      <w:bookmarkStart w:id="56" w:name="_Toc163827818"/>
      <w:bookmarkStart w:id="57" w:name="_Toc61106050"/>
      <w:bookmarkStart w:id="58" w:name="_Toc61105710"/>
      <w:r>
        <w:rPr>
          <w:rFonts w:hint="eastAsia"/>
          <w:color w:val="000000" w:themeColor="text1"/>
          <w14:textFill>
            <w14:solidFill>
              <w14:schemeClr w14:val="tx1"/>
            </w14:solidFill>
          </w14:textFill>
        </w:rPr>
        <w:t>术语和定义</w:t>
      </w:r>
      <w:bookmarkEnd w:id="44"/>
      <w:bookmarkEnd w:id="45"/>
      <w:bookmarkEnd w:id="46"/>
      <w:bookmarkEnd w:id="47"/>
      <w:bookmarkEnd w:id="48"/>
      <w:bookmarkEnd w:id="49"/>
      <w:bookmarkEnd w:id="50"/>
      <w:bookmarkEnd w:id="51"/>
      <w:bookmarkEnd w:id="56"/>
      <w:bookmarkEnd w:id="57"/>
      <w:bookmarkEnd w:id="58"/>
    </w:p>
    <w:p w14:paraId="525F4382">
      <w:pPr>
        <w:spacing w:line="276"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下列术语和定义适用于本文件。</w:t>
      </w:r>
    </w:p>
    <w:p w14:paraId="2B1A486E">
      <w:pPr>
        <w:tabs>
          <w:tab w:val="clear" w:pos="4201"/>
          <w:tab w:val="clear" w:pos="9298"/>
        </w:tabs>
        <w:autoSpaceDE/>
        <w:autoSpaceDN/>
        <w:spacing w:line="300" w:lineRule="auto"/>
        <w:ind w:left="420" w:hanging="420" w:hangingChars="200"/>
        <w:jc w:val="left"/>
        <w:rPr>
          <w:rFonts w:ascii="Times New Roman"/>
          <w:kern w:val="2"/>
          <w:szCs w:val="21"/>
        </w:rPr>
      </w:pPr>
      <w:r>
        <w:rPr>
          <w:rFonts w:hint="eastAsia" w:ascii="黑体" w:hAnsi="黑体" w:eastAsia="黑体"/>
          <w:kern w:val="2"/>
          <w:szCs w:val="22"/>
        </w:rPr>
        <w:t>3</w:t>
      </w:r>
      <w:r>
        <w:rPr>
          <w:rFonts w:ascii="黑体" w:hAnsi="黑体" w:eastAsia="黑体"/>
          <w:kern w:val="2"/>
          <w:szCs w:val="22"/>
        </w:rPr>
        <w:t>.1</w:t>
      </w:r>
      <w:r>
        <w:rPr>
          <w:rFonts w:ascii="黑体" w:hAnsi="黑体" w:eastAsia="黑体"/>
          <w:kern w:val="2"/>
          <w:szCs w:val="22"/>
        </w:rPr>
        <w:br w:type="textWrapping"/>
      </w:r>
      <w:r>
        <w:rPr>
          <w:rFonts w:hint="eastAsia" w:ascii="黑体" w:hAnsi="黑体" w:eastAsia="黑体"/>
          <w:kern w:val="2"/>
          <w:szCs w:val="22"/>
        </w:rPr>
        <w:t>艾灸仪　</w:t>
      </w:r>
      <w:r>
        <w:rPr>
          <w:rFonts w:ascii="黑体" w:hAnsi="黑体" w:eastAsia="黑体"/>
          <w:kern w:val="2"/>
          <w:szCs w:val="22"/>
        </w:rPr>
        <w:t>moxibustion device</w:t>
      </w:r>
      <w:r>
        <w:rPr>
          <w:rFonts w:ascii="黑体" w:hAnsi="黑体" w:eastAsia="黑体"/>
          <w:kern w:val="2"/>
          <w:szCs w:val="22"/>
        </w:rPr>
        <w:br w:type="textWrapping"/>
      </w:r>
      <w:r>
        <w:rPr>
          <w:rFonts w:hint="eastAsia" w:ascii="Times New Roman"/>
          <w:kern w:val="2"/>
          <w:szCs w:val="21"/>
        </w:rPr>
        <w:t>以艾绒作为主要燃烧材料的一次性或可重复使用的器械。</w:t>
      </w:r>
    </w:p>
    <w:p w14:paraId="32C4800E">
      <w:pPr>
        <w:widowControl w:val="0"/>
        <w:tabs>
          <w:tab w:val="clear" w:pos="4201"/>
          <w:tab w:val="clear" w:pos="9298"/>
        </w:tabs>
        <w:autoSpaceDE/>
        <w:autoSpaceDN/>
        <w:spacing w:line="300" w:lineRule="auto"/>
        <w:ind w:firstLine="360"/>
        <w:rPr>
          <w:rFonts w:ascii="Times New Roman"/>
          <w:kern w:val="2"/>
          <w:sz w:val="18"/>
          <w:szCs w:val="18"/>
        </w:rPr>
      </w:pPr>
      <w:r>
        <w:rPr>
          <w:rFonts w:hint="eastAsia" w:ascii="黑体" w:hAnsi="黑体" w:eastAsia="黑体"/>
          <w:kern w:val="2"/>
          <w:sz w:val="18"/>
          <w:szCs w:val="18"/>
        </w:rPr>
        <w:t>注：</w:t>
      </w:r>
      <w:r>
        <w:rPr>
          <w:rFonts w:hint="eastAsia" w:ascii="Times New Roman"/>
          <w:kern w:val="2"/>
          <w:sz w:val="18"/>
          <w:szCs w:val="18"/>
        </w:rPr>
        <w:t>艾灸仪包括制造商所定义的其正常使用所必须的配件。</w:t>
      </w:r>
    </w:p>
    <w:p w14:paraId="1EB42685">
      <w:pPr>
        <w:widowControl w:val="0"/>
        <w:tabs>
          <w:tab w:val="clear" w:pos="4201"/>
          <w:tab w:val="clear" w:pos="9298"/>
        </w:tabs>
        <w:autoSpaceDE/>
        <w:autoSpaceDN/>
        <w:spacing w:line="300" w:lineRule="auto"/>
        <w:rPr>
          <w:rFonts w:ascii="Times New Roman"/>
          <w:kern w:val="2"/>
          <w:szCs w:val="21"/>
        </w:rPr>
      </w:pPr>
      <w:r>
        <w:rPr>
          <w:rFonts w:hint="eastAsia" w:ascii="Times New Roman"/>
          <w:kern w:val="2"/>
          <w:szCs w:val="21"/>
        </w:rPr>
        <w:t>[来源：</w:t>
      </w:r>
      <w:r>
        <w:rPr>
          <w:rFonts w:ascii="Times New Roman"/>
          <w:kern w:val="2"/>
          <w:szCs w:val="21"/>
        </w:rPr>
        <w:t>ISO 18666</w:t>
      </w:r>
      <w:r>
        <w:rPr>
          <w:rFonts w:hint="eastAsia" w:ascii="Times New Roman"/>
          <w:kern w:val="2"/>
          <w:szCs w:val="21"/>
        </w:rPr>
        <w:t>:</w:t>
      </w:r>
      <w:r>
        <w:rPr>
          <w:rFonts w:ascii="Times New Roman"/>
          <w:kern w:val="2"/>
          <w:szCs w:val="21"/>
        </w:rPr>
        <w:t>2021, 3.1]</w:t>
      </w:r>
    </w:p>
    <w:p w14:paraId="306186A9">
      <w:pPr>
        <w:tabs>
          <w:tab w:val="clear" w:pos="4201"/>
          <w:tab w:val="clear" w:pos="9298"/>
        </w:tabs>
        <w:autoSpaceDE/>
        <w:autoSpaceDN/>
        <w:spacing w:line="300" w:lineRule="auto"/>
        <w:ind w:left="420" w:hanging="420" w:hangingChars="200"/>
        <w:jc w:val="left"/>
        <w:rPr>
          <w:rFonts w:ascii="黑体" w:hAnsi="黑体" w:eastAsia="黑体"/>
          <w:kern w:val="2"/>
          <w:szCs w:val="22"/>
        </w:rPr>
      </w:pPr>
      <w:bookmarkStart w:id="59" w:name="_Hlk138671071"/>
      <w:r>
        <w:rPr>
          <w:rFonts w:hint="eastAsia" w:ascii="黑体" w:hAnsi="黑体" w:eastAsia="黑体"/>
          <w:kern w:val="2"/>
          <w:szCs w:val="22"/>
        </w:rPr>
        <w:t>3</w:t>
      </w:r>
      <w:r>
        <w:rPr>
          <w:rFonts w:ascii="黑体" w:hAnsi="黑体" w:eastAsia="黑体"/>
          <w:kern w:val="2"/>
          <w:szCs w:val="22"/>
        </w:rPr>
        <w:t>.2</w:t>
      </w:r>
      <w:r>
        <w:rPr>
          <w:rFonts w:ascii="黑体" w:hAnsi="黑体" w:eastAsia="黑体"/>
          <w:kern w:val="2"/>
          <w:szCs w:val="22"/>
        </w:rPr>
        <w:br w:type="textWrapping"/>
      </w:r>
      <w:r>
        <w:rPr>
          <w:rFonts w:hint="eastAsia" w:ascii="黑体" w:hAnsi="黑体" w:eastAsia="黑体"/>
          <w:kern w:val="2"/>
          <w:szCs w:val="22"/>
        </w:rPr>
        <w:t>无烟艾灸仪　</w:t>
      </w:r>
      <w:r>
        <w:rPr>
          <w:rFonts w:ascii="黑体" w:hAnsi="黑体" w:eastAsia="黑体"/>
          <w:kern w:val="2"/>
          <w:szCs w:val="22"/>
        </w:rPr>
        <w:t>smokeless moxibustion device</w:t>
      </w:r>
    </w:p>
    <w:bookmarkEnd w:id="59"/>
    <w:p w14:paraId="3962AFA2">
      <w:pPr>
        <w:widowControl w:val="0"/>
        <w:tabs>
          <w:tab w:val="clear" w:pos="4201"/>
          <w:tab w:val="clear" w:pos="9298"/>
        </w:tabs>
        <w:autoSpaceDE/>
        <w:autoSpaceDN/>
        <w:spacing w:line="300" w:lineRule="auto"/>
        <w:rPr>
          <w:rFonts w:ascii="Times New Roman"/>
          <w:kern w:val="2"/>
          <w:szCs w:val="21"/>
        </w:rPr>
      </w:pPr>
      <w:r>
        <w:rPr>
          <w:rFonts w:hint="eastAsia" w:ascii="Times New Roman"/>
          <w:kern w:val="2"/>
          <w:szCs w:val="21"/>
        </w:rPr>
        <w:t>可减少燃烧产生的烟雾和臭味的艾灸仪。</w:t>
      </w:r>
    </w:p>
    <w:p w14:paraId="17701045">
      <w:pPr>
        <w:widowControl w:val="0"/>
        <w:tabs>
          <w:tab w:val="clear" w:pos="4201"/>
          <w:tab w:val="clear" w:pos="9298"/>
        </w:tabs>
        <w:autoSpaceDE/>
        <w:autoSpaceDN/>
        <w:spacing w:line="300" w:lineRule="auto"/>
        <w:ind w:firstLine="360"/>
        <w:rPr>
          <w:rFonts w:ascii="Times New Roman"/>
          <w:kern w:val="2"/>
          <w:sz w:val="18"/>
          <w:szCs w:val="18"/>
        </w:rPr>
      </w:pPr>
      <w:r>
        <w:rPr>
          <w:rFonts w:hint="eastAsia" w:ascii="黑体" w:hAnsi="黑体" w:eastAsia="黑体"/>
          <w:kern w:val="2"/>
          <w:sz w:val="18"/>
          <w:szCs w:val="18"/>
        </w:rPr>
        <w:t>注：</w:t>
      </w:r>
      <w:r>
        <w:rPr>
          <w:rFonts w:hint="eastAsia" w:ascii="Times New Roman"/>
          <w:kern w:val="2"/>
          <w:sz w:val="18"/>
          <w:szCs w:val="18"/>
        </w:rPr>
        <w:t>可采用碳化艾绒、碳化艾叶或其他碳化材料作为主要燃烧材料。</w:t>
      </w:r>
    </w:p>
    <w:p w14:paraId="09C674F7">
      <w:pPr>
        <w:widowControl w:val="0"/>
        <w:tabs>
          <w:tab w:val="clear" w:pos="4201"/>
          <w:tab w:val="clear" w:pos="9298"/>
        </w:tabs>
        <w:autoSpaceDE/>
        <w:autoSpaceDN/>
        <w:spacing w:line="300" w:lineRule="auto"/>
        <w:rPr>
          <w:rFonts w:ascii="Times New Roman"/>
          <w:kern w:val="2"/>
          <w:szCs w:val="21"/>
        </w:rPr>
      </w:pPr>
      <w:r>
        <w:rPr>
          <w:rFonts w:hint="eastAsia" w:ascii="Times New Roman"/>
          <w:kern w:val="2"/>
          <w:szCs w:val="21"/>
        </w:rPr>
        <w:t>[来源：</w:t>
      </w:r>
      <w:r>
        <w:rPr>
          <w:rFonts w:ascii="Times New Roman"/>
          <w:kern w:val="2"/>
          <w:szCs w:val="21"/>
        </w:rPr>
        <w:t>ISO 21366:2019, 3.2]</w:t>
      </w:r>
    </w:p>
    <w:p w14:paraId="4F0A5FAB">
      <w:pPr>
        <w:tabs>
          <w:tab w:val="clear" w:pos="4201"/>
          <w:tab w:val="clear" w:pos="9298"/>
        </w:tabs>
        <w:autoSpaceDE/>
        <w:autoSpaceDN/>
        <w:spacing w:line="300" w:lineRule="auto"/>
        <w:ind w:left="420" w:hanging="420" w:hangingChars="200"/>
        <w:jc w:val="left"/>
        <w:rPr>
          <w:rFonts w:ascii="黑体" w:hAnsi="黑体" w:eastAsia="黑体"/>
          <w:kern w:val="2"/>
          <w:szCs w:val="22"/>
        </w:rPr>
      </w:pPr>
      <w:r>
        <w:rPr>
          <w:rFonts w:hint="eastAsia" w:ascii="黑体" w:hAnsi="黑体" w:eastAsia="黑体"/>
          <w:kern w:val="2"/>
          <w:szCs w:val="22"/>
        </w:rPr>
        <w:t>3</w:t>
      </w:r>
      <w:r>
        <w:rPr>
          <w:rFonts w:ascii="黑体" w:hAnsi="黑体" w:eastAsia="黑体"/>
          <w:kern w:val="2"/>
          <w:szCs w:val="22"/>
        </w:rPr>
        <w:t>.3</w:t>
      </w:r>
      <w:r>
        <w:rPr>
          <w:rFonts w:ascii="黑体" w:hAnsi="黑体" w:eastAsia="黑体"/>
          <w:kern w:val="2"/>
          <w:szCs w:val="22"/>
        </w:rPr>
        <w:br w:type="textWrapping"/>
      </w:r>
      <w:r>
        <w:rPr>
          <w:rFonts w:hint="eastAsia" w:ascii="黑体" w:hAnsi="黑体" w:eastAsia="黑体"/>
          <w:kern w:val="2"/>
          <w:szCs w:val="22"/>
        </w:rPr>
        <w:t>烟雾密度　</w:t>
      </w:r>
      <w:r>
        <w:rPr>
          <w:rFonts w:ascii="黑体" w:hAnsi="黑体" w:eastAsia="黑体"/>
          <w:kern w:val="2"/>
          <w:szCs w:val="22"/>
        </w:rPr>
        <w:t>smoke density</w:t>
      </w:r>
      <w:r>
        <w:rPr>
          <w:rFonts w:ascii="黑体" w:hAnsi="黑体" w:eastAsia="黑体"/>
          <w:kern w:val="2"/>
          <w:szCs w:val="22"/>
        </w:rPr>
        <w:br w:type="textWrapping"/>
      </w:r>
      <w:r>
        <w:rPr>
          <w:rFonts w:hint="eastAsia" w:ascii="黑体" w:hAnsi="黑体" w:eastAsia="黑体"/>
          <w:kern w:val="2"/>
          <w:szCs w:val="22"/>
        </w:rPr>
        <w:t>气溶胶密度</w:t>
      </w:r>
    </w:p>
    <w:p w14:paraId="54E60117">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用两个参数之一描述的每体积颗粒数：</w:t>
      </w:r>
    </w:p>
    <w:p w14:paraId="7B9C5476">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m，吸光度指数，用于使用散射光或透射光测试烟雾探测器;</w:t>
      </w:r>
    </w:p>
    <w:p w14:paraId="4A153CA1">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y，无量纲变量，用于电离烟雾探测器的测试</w:t>
      </w:r>
    </w:p>
    <w:p w14:paraId="412BB625">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注：严格地说，这些参数不是浓度，而是代表与浓度成正比的值，并且在这些测试中已被证明可以代替真实的浓度值。</w:t>
      </w:r>
    </w:p>
    <w:p w14:paraId="19C7A63A">
      <w:pPr>
        <w:spacing w:line="288" w:lineRule="auto"/>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来源：</w:t>
      </w:r>
      <w:r>
        <w:rPr>
          <w:color w:val="000000" w:themeColor="text1"/>
          <w14:textFill>
            <w14:solidFill>
              <w14:schemeClr w14:val="tx1"/>
            </w14:solidFill>
          </w14:textFill>
        </w:rPr>
        <w:t>ISO 7240-1:2014, 2.1.5</w:t>
      </w:r>
      <w:r>
        <w:rPr>
          <w:rFonts w:hint="eastAsia"/>
          <w:color w:val="000000" w:themeColor="text1"/>
          <w14:textFill>
            <w14:solidFill>
              <w14:schemeClr w14:val="tx1"/>
            </w14:solidFill>
          </w14:textFill>
        </w:rPr>
        <w:t>，有改动——以“烟雾浓度”为优选术语，因而改变了术语顺序]</w:t>
      </w:r>
    </w:p>
    <w:p w14:paraId="014F959B">
      <w:pPr>
        <w:tabs>
          <w:tab w:val="clear" w:pos="4201"/>
          <w:tab w:val="clear" w:pos="9298"/>
        </w:tabs>
        <w:autoSpaceDE/>
        <w:autoSpaceDN/>
        <w:spacing w:line="300" w:lineRule="auto"/>
        <w:ind w:left="420" w:hanging="420" w:hangingChars="200"/>
        <w:jc w:val="left"/>
        <w:rPr>
          <w:rFonts w:ascii="黑体" w:hAnsi="黑体" w:eastAsia="黑体"/>
          <w:kern w:val="2"/>
          <w:szCs w:val="22"/>
        </w:rPr>
      </w:pPr>
      <w:r>
        <w:rPr>
          <w:rFonts w:hint="eastAsia" w:ascii="黑体" w:hAnsi="黑体" w:eastAsia="黑体"/>
          <w:kern w:val="2"/>
          <w:szCs w:val="22"/>
        </w:rPr>
        <w:t>3</w:t>
      </w:r>
      <w:r>
        <w:rPr>
          <w:rFonts w:ascii="黑体" w:hAnsi="黑体" w:eastAsia="黑体"/>
          <w:kern w:val="2"/>
          <w:szCs w:val="22"/>
        </w:rPr>
        <w:t>.4</w:t>
      </w:r>
      <w:r>
        <w:rPr>
          <w:rFonts w:ascii="黑体" w:hAnsi="黑体" w:eastAsia="黑体"/>
          <w:kern w:val="2"/>
          <w:szCs w:val="22"/>
        </w:rPr>
        <w:br w:type="textWrapping"/>
      </w:r>
      <w:r>
        <w:rPr>
          <w:rFonts w:hint="eastAsia" w:ascii="黑体" w:hAnsi="黑体" w:eastAsia="黑体"/>
          <w:kern w:val="2"/>
          <w:szCs w:val="22"/>
        </w:rPr>
        <w:t>一氧化碳CO　</w:t>
      </w:r>
      <w:r>
        <w:rPr>
          <w:rFonts w:ascii="黑体" w:hAnsi="黑体" w:eastAsia="黑体"/>
          <w:kern w:val="2"/>
          <w:szCs w:val="22"/>
        </w:rPr>
        <w:t>carbon monoxide</w:t>
      </w:r>
      <w:r>
        <w:rPr>
          <w:rFonts w:hint="eastAsia" w:ascii="黑体" w:hAnsi="黑体" w:eastAsia="黑体"/>
          <w:kern w:val="2"/>
          <w:szCs w:val="22"/>
        </w:rPr>
        <w:t>，C</w:t>
      </w:r>
      <w:r>
        <w:rPr>
          <w:rFonts w:ascii="黑体" w:hAnsi="黑体" w:eastAsia="黑体"/>
          <w:kern w:val="2"/>
          <w:szCs w:val="22"/>
        </w:rPr>
        <w:t>O</w:t>
      </w:r>
    </w:p>
    <w:p w14:paraId="66DFDAAA">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由一个碳原子和一个氧原子结合形成的气体</w:t>
      </w:r>
    </w:p>
    <w:p w14:paraId="0F1CAAA6">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注：在它的化学式中，C代表碳，O代表氧。根据本文件的目的，C</w:t>
      </w:r>
      <w:r>
        <w:rPr>
          <w:color w:val="000000" w:themeColor="text1"/>
          <w14:textFill>
            <w14:solidFill>
              <w14:schemeClr w14:val="tx1"/>
            </w14:solidFill>
          </w14:textFill>
        </w:rPr>
        <w:t>O</w:t>
      </w:r>
      <w:r>
        <w:rPr>
          <w:rFonts w:hint="eastAsia"/>
          <w:color w:val="000000" w:themeColor="text1"/>
          <w14:textFill>
            <w14:solidFill>
              <w14:schemeClr w14:val="tx1"/>
            </w14:solidFill>
          </w14:textFill>
        </w:rPr>
        <w:t>水平总是用空气中CO的质量分数来表示。</w:t>
      </w:r>
    </w:p>
    <w:p w14:paraId="4F19851A">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[来源：</w:t>
      </w:r>
      <w:r>
        <w:rPr>
          <w:color w:val="000000" w:themeColor="text1"/>
          <w14:textFill>
            <w14:solidFill>
              <w14:schemeClr w14:val="tx1"/>
            </w14:solidFill>
          </w14:textFill>
        </w:rPr>
        <w:t>ISO 12133:2011, 3.1]</w:t>
      </w:r>
    </w:p>
    <w:p w14:paraId="12A14B50">
      <w:pPr>
        <w:tabs>
          <w:tab w:val="clear" w:pos="4201"/>
          <w:tab w:val="clear" w:pos="9298"/>
        </w:tabs>
        <w:autoSpaceDE/>
        <w:autoSpaceDN/>
        <w:spacing w:line="300" w:lineRule="auto"/>
        <w:ind w:left="420" w:hanging="420" w:hangingChars="200"/>
        <w:jc w:val="left"/>
        <w:rPr>
          <w:rFonts w:ascii="黑体" w:hAnsi="黑体" w:eastAsia="黑体"/>
          <w:kern w:val="2"/>
          <w:szCs w:val="22"/>
        </w:rPr>
      </w:pPr>
      <w:r>
        <w:rPr>
          <w:rFonts w:hint="eastAsia" w:ascii="黑体" w:hAnsi="黑体" w:eastAsia="黑体"/>
          <w:kern w:val="2"/>
          <w:szCs w:val="22"/>
        </w:rPr>
        <w:t>3</w:t>
      </w:r>
      <w:r>
        <w:rPr>
          <w:rFonts w:ascii="黑体" w:hAnsi="黑体" w:eastAsia="黑体"/>
          <w:kern w:val="2"/>
          <w:szCs w:val="22"/>
        </w:rPr>
        <w:t>.5</w:t>
      </w:r>
      <w:r>
        <w:rPr>
          <w:rFonts w:ascii="黑体" w:hAnsi="黑体" w:eastAsia="黑体"/>
          <w:kern w:val="2"/>
          <w:szCs w:val="22"/>
        </w:rPr>
        <w:br w:type="textWrapping"/>
      </w:r>
      <w:r>
        <w:rPr>
          <w:rFonts w:hint="eastAsia" w:ascii="黑体" w:hAnsi="黑体" w:eastAsia="黑体"/>
          <w:kern w:val="2"/>
          <w:szCs w:val="22"/>
        </w:rPr>
        <w:t>挥发性有机物　VOC</w:t>
      </w:r>
    </w:p>
    <w:p w14:paraId="0C8D4BA4">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沸点在一5</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100</w:t>
      </w:r>
      <w:r>
        <w:rPr>
          <w:rFonts w:hint="eastAsia"/>
          <w:color w:val="000000" w:themeColor="text1"/>
          <w14:textFill>
            <w14:solidFill>
              <w14:schemeClr w14:val="tx1"/>
            </w14:solidFill>
          </w14:textFill>
        </w:rPr>
        <w:t>℃围内的有机化合物。</w:t>
      </w:r>
    </w:p>
    <w:p w14:paraId="41EDC1C9">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[来源：</w:t>
      </w:r>
      <w:r>
        <w:rPr>
          <w:color w:val="000000" w:themeColor="text1"/>
          <w14:textFill>
            <w14:solidFill>
              <w14:schemeClr w14:val="tx1"/>
            </w14:solidFill>
          </w14:textFill>
        </w:rPr>
        <w:t>ISO 12219:2012, 3.4]</w:t>
      </w:r>
    </w:p>
    <w:p w14:paraId="016EEF79">
      <w:pPr>
        <w:tabs>
          <w:tab w:val="clear" w:pos="4201"/>
          <w:tab w:val="clear" w:pos="9298"/>
        </w:tabs>
        <w:autoSpaceDE/>
        <w:autoSpaceDN/>
        <w:spacing w:line="300" w:lineRule="auto"/>
        <w:ind w:left="420" w:hanging="420" w:hangingChars="200"/>
        <w:jc w:val="left"/>
        <w:rPr>
          <w:rFonts w:ascii="黑体" w:hAnsi="黑体" w:eastAsia="黑体"/>
          <w:kern w:val="2"/>
          <w:szCs w:val="22"/>
        </w:rPr>
      </w:pPr>
      <w:r>
        <w:rPr>
          <w:rFonts w:hint="eastAsia" w:ascii="黑体" w:hAnsi="黑体" w:eastAsia="黑体"/>
          <w:kern w:val="2"/>
          <w:szCs w:val="22"/>
        </w:rPr>
        <w:t>3</w:t>
      </w:r>
      <w:r>
        <w:rPr>
          <w:rFonts w:ascii="黑体" w:hAnsi="黑体" w:eastAsia="黑体"/>
          <w:kern w:val="2"/>
          <w:szCs w:val="22"/>
        </w:rPr>
        <w:t>.6</w:t>
      </w:r>
      <w:r>
        <w:rPr>
          <w:rFonts w:ascii="黑体" w:hAnsi="黑体" w:eastAsia="黑体"/>
          <w:kern w:val="2"/>
          <w:szCs w:val="22"/>
        </w:rPr>
        <w:br w:type="textWrapping"/>
      </w:r>
      <w:r>
        <w:rPr>
          <w:rFonts w:hint="eastAsia" w:ascii="黑体" w:hAnsi="黑体" w:eastAsia="黑体"/>
          <w:kern w:val="2"/>
          <w:szCs w:val="22"/>
        </w:rPr>
        <w:t>总挥发性有机物　tVOC</w:t>
      </w:r>
    </w:p>
    <w:p w14:paraId="530DB513">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在Tenax TA®</w:t>
      </w:r>
      <w:r>
        <w:rPr>
          <w:rStyle w:val="29"/>
          <w:color w:val="000000" w:themeColor="text1"/>
          <w14:textFill>
            <w14:solidFill>
              <w14:schemeClr w14:val="tx1"/>
            </w14:solidFill>
          </w14:textFill>
        </w:rPr>
        <w:footnoteReference w:id="0"/>
      </w:r>
      <w:r>
        <w:rPr>
          <w:rFonts w:hint="eastAsia"/>
          <w:color w:val="000000" w:themeColor="text1"/>
          <w14:textFill>
            <w14:solidFill>
              <w14:schemeClr w14:val="tx1"/>
            </w14:solidFill>
          </w14:textFill>
        </w:rPr>
        <w:t>上取样的挥发性有机物(3.5)和在正己烷和正十六烷之间洗脱的总和，用火焰电离检测器(tVOCFID)或质谱检测器(tVOCMS)检测，并通过将分析窗口中色谱的总面积转换为甲苯当量来量化。</w:t>
      </w:r>
    </w:p>
    <w:p w14:paraId="70379DD2">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[来源：</w:t>
      </w:r>
      <w:r>
        <w:rPr>
          <w:color w:val="000000" w:themeColor="text1"/>
          <w14:textFill>
            <w14:solidFill>
              <w14:schemeClr w14:val="tx1"/>
            </w14:solidFill>
          </w14:textFill>
        </w:rPr>
        <w:t>ISO 12219:2012, 3.5]</w:t>
      </w:r>
    </w:p>
    <w:p w14:paraId="15217322">
      <w:pPr>
        <w:tabs>
          <w:tab w:val="clear" w:pos="4201"/>
          <w:tab w:val="clear" w:pos="9298"/>
        </w:tabs>
        <w:autoSpaceDE/>
        <w:autoSpaceDN/>
        <w:spacing w:line="300" w:lineRule="auto"/>
        <w:ind w:left="420" w:hanging="420" w:hangingChars="200"/>
        <w:jc w:val="left"/>
        <w:rPr>
          <w:rFonts w:ascii="黑体" w:hAnsi="黑体" w:eastAsia="黑体"/>
          <w:kern w:val="2"/>
          <w:szCs w:val="22"/>
        </w:rPr>
      </w:pPr>
      <w:r>
        <w:rPr>
          <w:rFonts w:hint="eastAsia" w:ascii="黑体" w:hAnsi="黑体" w:eastAsia="黑体"/>
          <w:kern w:val="2"/>
          <w:szCs w:val="22"/>
        </w:rPr>
        <w:t>3</w:t>
      </w:r>
      <w:r>
        <w:rPr>
          <w:rFonts w:ascii="黑体" w:hAnsi="黑体" w:eastAsia="黑体"/>
          <w:kern w:val="2"/>
          <w:szCs w:val="22"/>
        </w:rPr>
        <w:t>.7</w:t>
      </w:r>
      <w:r>
        <w:rPr>
          <w:rFonts w:ascii="黑体" w:hAnsi="黑体" w:eastAsia="黑体"/>
          <w:kern w:val="2"/>
          <w:szCs w:val="22"/>
        </w:rPr>
        <w:br w:type="textWrapping"/>
      </w:r>
      <w:r>
        <w:rPr>
          <w:rFonts w:hint="eastAsia" w:ascii="黑体" w:hAnsi="黑体" w:eastAsia="黑体"/>
          <w:kern w:val="2"/>
          <w:szCs w:val="22"/>
        </w:rPr>
        <w:t>艾烟　</w:t>
      </w:r>
      <w:r>
        <w:rPr>
          <w:rFonts w:ascii="黑体" w:hAnsi="黑体" w:eastAsia="黑体"/>
          <w:kern w:val="2"/>
          <w:szCs w:val="22"/>
        </w:rPr>
        <w:t>moxibustion smoke</w:t>
      </w:r>
    </w:p>
    <w:p w14:paraId="2587BC8A">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使用艾灸仪(3.1)产生的气体中可见的固体或液体颗粒悬浮。</w:t>
      </w:r>
    </w:p>
    <w:p w14:paraId="707BF1DD">
      <w:pPr>
        <w:tabs>
          <w:tab w:val="clear" w:pos="4201"/>
          <w:tab w:val="clear" w:pos="9298"/>
        </w:tabs>
        <w:autoSpaceDE/>
        <w:autoSpaceDN/>
        <w:spacing w:line="300" w:lineRule="auto"/>
        <w:ind w:left="420" w:hanging="420" w:hangingChars="200"/>
        <w:jc w:val="left"/>
        <w:rPr>
          <w:rFonts w:ascii="黑体" w:hAnsi="黑体" w:eastAsia="黑体"/>
          <w:kern w:val="2"/>
          <w:szCs w:val="22"/>
        </w:rPr>
      </w:pPr>
      <w:r>
        <w:rPr>
          <w:rFonts w:hint="eastAsia" w:ascii="黑体" w:hAnsi="黑体" w:eastAsia="黑体"/>
          <w:kern w:val="2"/>
          <w:szCs w:val="22"/>
        </w:rPr>
        <w:t>3</w:t>
      </w:r>
      <w:r>
        <w:rPr>
          <w:rFonts w:ascii="黑体" w:hAnsi="黑体" w:eastAsia="黑体"/>
          <w:kern w:val="2"/>
          <w:szCs w:val="22"/>
        </w:rPr>
        <w:t>.8</w:t>
      </w:r>
      <w:r>
        <w:rPr>
          <w:rFonts w:ascii="黑体" w:hAnsi="黑体" w:eastAsia="黑体"/>
          <w:kern w:val="2"/>
          <w:szCs w:val="22"/>
        </w:rPr>
        <w:br w:type="textWrapping"/>
      </w:r>
      <w:r>
        <w:rPr>
          <w:rFonts w:hint="eastAsia" w:ascii="黑体" w:hAnsi="黑体" w:eastAsia="黑体"/>
          <w:kern w:val="2"/>
          <w:szCs w:val="22"/>
        </w:rPr>
        <w:t>醛类　</w:t>
      </w:r>
      <w:r>
        <w:rPr>
          <w:rFonts w:ascii="黑体" w:hAnsi="黑体" w:eastAsia="黑体"/>
          <w:kern w:val="2"/>
          <w:szCs w:val="22"/>
        </w:rPr>
        <w:t>aldehyde</w:t>
      </w:r>
    </w:p>
    <w:p w14:paraId="11470F84">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含有甲酰基家族的有机化合物。</w:t>
      </w:r>
    </w:p>
    <w:p w14:paraId="0A648F30">
      <w:pPr>
        <w:pStyle w:val="55"/>
        <w:spacing w:before="156" w:after="156"/>
        <w:rPr>
          <w:color w:val="000000" w:themeColor="text1"/>
          <w14:textFill>
            <w14:solidFill>
              <w14:schemeClr w14:val="tx1"/>
            </w14:solidFill>
          </w14:textFill>
        </w:rPr>
      </w:pPr>
      <w:bookmarkStart w:id="60" w:name="_Toc163827819"/>
      <w:r>
        <w:rPr>
          <w:rFonts w:hint="eastAsia"/>
          <w:color w:val="000000" w:themeColor="text1"/>
          <w14:textFill>
            <w14:solidFill>
              <w14:schemeClr w14:val="tx1"/>
            </w14:solidFill>
          </w14:textFill>
        </w:rPr>
        <w:t>无烟艾灸仪要求与测试方法</w:t>
      </w:r>
      <w:bookmarkEnd w:id="60"/>
    </w:p>
    <w:p w14:paraId="33AC49B8">
      <w:pPr>
        <w:pStyle w:val="56"/>
        <w:spacing w:before="156" w:after="156"/>
        <w:ind w:left="525" w:hanging="525"/>
        <w:outlineLvl w:val="1"/>
        <w:rPr>
          <w:color w:val="000000" w:themeColor="text1"/>
          <w14:textFill>
            <w14:solidFill>
              <w14:schemeClr w14:val="tx1"/>
            </w14:solidFill>
          </w14:textFill>
        </w:rPr>
      </w:pPr>
      <w:bookmarkStart w:id="61" w:name="_Toc163827820"/>
      <w:r>
        <w:rPr>
          <w:rFonts w:hint="eastAsia"/>
          <w:color w:val="000000" w:themeColor="text1"/>
          <w14:textFill>
            <w14:solidFill>
              <w14:schemeClr w14:val="tx1"/>
            </w14:solidFill>
          </w14:textFill>
        </w:rPr>
        <w:t>概述</w:t>
      </w:r>
      <w:bookmarkEnd w:id="61"/>
    </w:p>
    <w:p w14:paraId="3BDF42D6">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在附录B和C中描述的密度水平下产生艾烟的装置可标记为无烟艾灸仪。</w:t>
      </w:r>
    </w:p>
    <w:p w14:paraId="56B95C17">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无烟艾灸仪的测试应符合适当的测试方法，例如附录B和C中概述的测试方法 。测试方法可根据 每种产品的形状或尺寸进行修改。</w:t>
      </w:r>
    </w:p>
    <w:p w14:paraId="3286FF49">
      <w:pPr>
        <w:pStyle w:val="56"/>
        <w:spacing w:before="156" w:after="156"/>
        <w:ind w:left="525" w:hanging="525"/>
        <w:outlineLvl w:val="1"/>
        <w:rPr>
          <w:color w:val="000000" w:themeColor="text1"/>
          <w14:textFill>
            <w14:solidFill>
              <w14:schemeClr w14:val="tx1"/>
            </w14:solidFill>
          </w14:textFill>
        </w:rPr>
      </w:pPr>
      <w:bookmarkStart w:id="62" w:name="_Toc163827821"/>
      <w:r>
        <w:rPr>
          <w:rFonts w:hint="eastAsia"/>
          <w:color w:val="000000" w:themeColor="text1"/>
          <w14:textFill>
            <w14:solidFill>
              <w14:schemeClr w14:val="tx1"/>
            </w14:solidFill>
          </w14:textFill>
        </w:rPr>
        <w:t>烟密度测试</w:t>
      </w:r>
      <w:bookmarkEnd w:id="62"/>
    </w:p>
    <w:p w14:paraId="3B46C80C">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按照附录B进行烟密度测试。</w:t>
      </w:r>
    </w:p>
    <w:p w14:paraId="51DD6F06">
      <w:pPr>
        <w:pStyle w:val="56"/>
        <w:spacing w:before="156" w:after="156"/>
        <w:ind w:left="525" w:hanging="525"/>
        <w:outlineLvl w:val="1"/>
        <w:rPr>
          <w:color w:val="000000" w:themeColor="text1"/>
          <w14:textFill>
            <w14:solidFill>
              <w14:schemeClr w14:val="tx1"/>
            </w14:solidFill>
          </w14:textFill>
        </w:rPr>
      </w:pPr>
      <w:bookmarkStart w:id="63" w:name="_Toc163827822"/>
      <w:r>
        <w:rPr>
          <w:rFonts w:hint="eastAsia"/>
          <w:color w:val="000000" w:themeColor="text1"/>
          <w14:textFill>
            <w14:solidFill>
              <w14:schemeClr w14:val="tx1"/>
            </w14:solidFill>
          </w14:textFill>
        </w:rPr>
        <w:t>产烟试验</w:t>
      </w:r>
      <w:bookmarkEnd w:id="63"/>
    </w:p>
    <w:p w14:paraId="1469B217">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按照附录C进行产烟试验。</w:t>
      </w:r>
    </w:p>
    <w:p w14:paraId="09F6F2F7">
      <w:pPr>
        <w:pStyle w:val="55"/>
        <w:spacing w:before="156" w:after="156"/>
        <w:rPr>
          <w:color w:val="000000" w:themeColor="text1"/>
          <w14:textFill>
            <w14:solidFill>
              <w14:schemeClr w14:val="tx1"/>
            </w14:solidFill>
          </w14:textFill>
        </w:rPr>
      </w:pPr>
      <w:bookmarkStart w:id="64" w:name="_Toc163827823"/>
      <w:r>
        <w:rPr>
          <w:rFonts w:hint="eastAsia"/>
          <w:color w:val="000000" w:themeColor="text1"/>
          <w14:textFill>
            <w14:solidFill>
              <w14:schemeClr w14:val="tx1"/>
            </w14:solidFill>
          </w14:textFill>
        </w:rPr>
        <w:t>安全要求</w:t>
      </w:r>
      <w:bookmarkEnd w:id="64"/>
    </w:p>
    <w:p w14:paraId="7F95F150">
      <w:pPr>
        <w:pStyle w:val="56"/>
        <w:spacing w:before="156" w:after="156"/>
        <w:ind w:left="525" w:hanging="525"/>
        <w:outlineLvl w:val="1"/>
        <w:rPr>
          <w:color w:val="000000" w:themeColor="text1"/>
          <w14:textFill>
            <w14:solidFill>
              <w14:schemeClr w14:val="tx1"/>
            </w14:solidFill>
          </w14:textFill>
        </w:rPr>
      </w:pPr>
      <w:bookmarkStart w:id="65" w:name="_Toc163827824"/>
      <w:r>
        <w:rPr>
          <w:rFonts w:hint="eastAsia"/>
          <w:color w:val="000000" w:themeColor="text1"/>
          <w14:textFill>
            <w14:solidFill>
              <w14:schemeClr w14:val="tx1"/>
            </w14:solidFill>
          </w14:textFill>
        </w:rPr>
        <w:t>有毒气体</w:t>
      </w:r>
      <w:bookmarkEnd w:id="65"/>
    </w:p>
    <w:p w14:paraId="2C24072D">
      <w:pPr>
        <w:pStyle w:val="58"/>
        <w:spacing w:after="156"/>
        <w:ind w:left="1260" w:hanging="630"/>
      </w:pPr>
      <w:r>
        <w:rPr>
          <w:rFonts w:hint="eastAsia"/>
        </w:rPr>
        <w:t>概述</w:t>
      </w:r>
    </w:p>
    <w:p w14:paraId="777A3500">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无烟艾灸仪应在世界 卫生组织(WHO)指南规定的范围内释放下列物质。</w:t>
      </w:r>
    </w:p>
    <w:p w14:paraId="634F159E">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化学浓度的分析应按照下列测试 方法或经证明同样适用的任何其他方法进行。所述腔室和采样方法 可根据无烟艾灸仪的各种形状或尺寸进行修改。</w:t>
      </w:r>
    </w:p>
    <w:p w14:paraId="2E8E4593">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注:建议值的摘要见附录A。</w:t>
      </w:r>
    </w:p>
    <w:p w14:paraId="7C811C4E">
      <w:pPr>
        <w:pStyle w:val="58"/>
        <w:spacing w:after="156"/>
        <w:ind w:left="1260" w:hanging="630"/>
      </w:pPr>
      <w:r>
        <w:rPr>
          <w:rFonts w:hint="eastAsia"/>
        </w:rPr>
        <w:t>一氧化碳(CO)</w:t>
      </w:r>
    </w:p>
    <w:p w14:paraId="7FDF2527">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对于CO的测定，测试方法应符合ISO 15011-2。</w:t>
      </w:r>
    </w:p>
    <w:p w14:paraId="03C5F0DC">
      <w:pPr>
        <w:pStyle w:val="58"/>
        <w:spacing w:after="156"/>
        <w:ind w:left="1260" w:hanging="630"/>
      </w:pPr>
      <w:r>
        <w:rPr>
          <w:rFonts w:hint="eastAsia"/>
        </w:rPr>
        <w:t>二氧化氮(NO2)</w:t>
      </w:r>
    </w:p>
    <w:p w14:paraId="49AA7D46">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对于NO2的测定，测试方法应符合ISO 15011-2。</w:t>
      </w:r>
    </w:p>
    <w:p w14:paraId="7AECCC82">
      <w:pPr>
        <w:pStyle w:val="58"/>
        <w:spacing w:after="156"/>
        <w:ind w:left="1260" w:hanging="630"/>
      </w:pPr>
      <w:r>
        <w:rPr>
          <w:rFonts w:hint="eastAsia"/>
        </w:rPr>
        <w:t>总挥发性有机化合物(tVOCs)</w:t>
      </w:r>
    </w:p>
    <w:p w14:paraId="6715DF28">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对于tVOCs的测定，测试方法应符合ISO 16000-6。</w:t>
      </w:r>
    </w:p>
    <w:p w14:paraId="440C8B5D">
      <w:pPr>
        <w:pStyle w:val="58"/>
        <w:spacing w:after="156"/>
        <w:ind w:left="1260" w:hanging="630"/>
      </w:pPr>
      <w:r>
        <w:rPr>
          <w:rFonts w:hint="eastAsia"/>
        </w:rPr>
        <w:t>醛</w:t>
      </w:r>
    </w:p>
    <w:p w14:paraId="0FDCD8B3">
      <w:pPr>
        <w:spacing w:line="288" w:lineRule="auto"/>
        <w:ind w:left="840" w:leftChars="20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对于醛的测定，测试方法应符合ISO 16000-4。</w:t>
      </w:r>
    </w:p>
    <w:p w14:paraId="7331FEB6">
      <w:pPr>
        <w:pStyle w:val="56"/>
        <w:spacing w:before="156" w:after="156"/>
        <w:ind w:left="525" w:hanging="525"/>
        <w:outlineLvl w:val="1"/>
        <w:rPr>
          <w:color w:val="000000" w:themeColor="text1"/>
          <w14:textFill>
            <w14:solidFill>
              <w14:schemeClr w14:val="tx1"/>
            </w14:solidFill>
          </w14:textFill>
        </w:rPr>
      </w:pPr>
      <w:bookmarkStart w:id="66" w:name="_Toc163827825"/>
      <w:r>
        <w:rPr>
          <w:rFonts w:hint="eastAsia"/>
          <w:color w:val="000000" w:themeColor="text1"/>
          <w14:textFill>
            <w14:solidFill>
              <w14:schemeClr w14:val="tx1"/>
            </w14:solidFill>
          </w14:textFill>
        </w:rPr>
        <w:t>艾灸温度</w:t>
      </w:r>
      <w:bookmarkEnd w:id="66"/>
    </w:p>
    <w:p w14:paraId="72BBC639">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应符合ISO 18666:2015中6.1、6.2和6.3的要求。</w:t>
      </w:r>
    </w:p>
    <w:p w14:paraId="7EA985D2">
      <w:pPr>
        <w:pStyle w:val="56"/>
        <w:spacing w:before="156" w:after="156"/>
        <w:ind w:left="525" w:hanging="525"/>
        <w:outlineLvl w:val="1"/>
        <w:rPr>
          <w:color w:val="000000" w:themeColor="text1"/>
          <w14:textFill>
            <w14:solidFill>
              <w14:schemeClr w14:val="tx1"/>
            </w14:solidFill>
          </w14:textFill>
        </w:rPr>
      </w:pPr>
      <w:bookmarkStart w:id="67" w:name="_Toc163827826"/>
      <w:r>
        <w:rPr>
          <w:rFonts w:hint="eastAsia"/>
          <w:color w:val="000000" w:themeColor="text1"/>
          <w14:textFill>
            <w14:solidFill>
              <w14:schemeClr w14:val="tx1"/>
            </w14:solidFill>
          </w14:textFill>
        </w:rPr>
        <w:t>设备材料</w:t>
      </w:r>
      <w:bookmarkEnd w:id="67"/>
    </w:p>
    <w:p w14:paraId="5FE9C640">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可能与人体接触的无烟艾灸仪的材料应 符合ISO 18666:2015第7章。</w:t>
      </w:r>
    </w:p>
    <w:p w14:paraId="3D5FA41E">
      <w:pPr>
        <w:pStyle w:val="55"/>
        <w:spacing w:before="156" w:after="156"/>
        <w:rPr>
          <w:color w:val="000000" w:themeColor="text1"/>
          <w14:textFill>
            <w14:solidFill>
              <w14:schemeClr w14:val="tx1"/>
            </w14:solidFill>
          </w14:textFill>
        </w:rPr>
      </w:pPr>
      <w:bookmarkStart w:id="68" w:name="_Toc163827827"/>
      <w:r>
        <w:rPr>
          <w:rFonts w:hint="eastAsia"/>
          <w:color w:val="000000" w:themeColor="text1"/>
          <w14:textFill>
            <w14:solidFill>
              <w14:schemeClr w14:val="tx1"/>
            </w14:solidFill>
          </w14:textFill>
        </w:rPr>
        <w:t>包装和标签</w:t>
      </w:r>
      <w:bookmarkEnd w:id="68"/>
      <w:r>
        <w:rPr>
          <w:rFonts w:hint="eastAsia"/>
          <w:color w:val="000000" w:themeColor="text1"/>
          <w14:textFill>
            <w14:solidFill>
              <w14:schemeClr w14:val="tx1"/>
            </w14:solidFill>
          </w14:textFill>
        </w:rPr>
        <w:t>要求</w:t>
      </w:r>
    </w:p>
    <w:p w14:paraId="2484FA0B">
      <w:pPr>
        <w:pStyle w:val="56"/>
        <w:spacing w:before="156" w:after="156"/>
        <w:ind w:left="525" w:hanging="525"/>
        <w:outlineLvl w:val="1"/>
        <w:rPr>
          <w:color w:val="000000" w:themeColor="text1"/>
          <w14:textFill>
            <w14:solidFill>
              <w14:schemeClr w14:val="tx1"/>
            </w14:solidFill>
          </w14:textFill>
        </w:rPr>
      </w:pPr>
      <w:bookmarkStart w:id="69" w:name="_Toc163827828"/>
      <w:r>
        <w:rPr>
          <w:rFonts w:hint="eastAsia"/>
          <w:color w:val="000000" w:themeColor="text1"/>
          <w14:textFill>
            <w14:solidFill>
              <w14:schemeClr w14:val="tx1"/>
            </w14:solidFill>
          </w14:textFill>
        </w:rPr>
        <w:t>概述</w:t>
      </w:r>
      <w:bookmarkEnd w:id="69"/>
    </w:p>
    <w:p w14:paraId="0E63211D">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包装和标签的要求应符合ISO 18666。但是，使用“无烟艾灸仪”声明应遵循6.2</w:t>
      </w:r>
    </w:p>
    <w:p w14:paraId="051AD25A">
      <w:pPr>
        <w:pStyle w:val="56"/>
        <w:spacing w:before="156" w:after="156"/>
        <w:ind w:left="525" w:hanging="525"/>
        <w:outlineLvl w:val="1"/>
        <w:rPr>
          <w:color w:val="000000" w:themeColor="text1"/>
          <w14:textFill>
            <w14:solidFill>
              <w14:schemeClr w14:val="tx1"/>
            </w14:solidFill>
          </w14:textFill>
        </w:rPr>
      </w:pPr>
      <w:bookmarkStart w:id="70" w:name="_Toc163827829"/>
      <w:r>
        <w:rPr>
          <w:rFonts w:hint="eastAsia"/>
          <w:color w:val="000000" w:themeColor="text1"/>
          <w14:textFill>
            <w14:solidFill>
              <w14:schemeClr w14:val="tx1"/>
            </w14:solidFill>
          </w14:textFill>
        </w:rPr>
        <w:t>无烟声明</w:t>
      </w:r>
      <w:bookmarkEnd w:id="70"/>
    </w:p>
    <w:p w14:paraId="5AE6BF31">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符合本文件要求的产品(见第4章)只能在主要或次要包装上使用“无烟”声明。</w:t>
      </w:r>
    </w:p>
    <w:p w14:paraId="6F19ABFF">
      <w:pPr>
        <w:pStyle w:val="56"/>
        <w:spacing w:before="156" w:after="156"/>
        <w:ind w:left="525" w:hanging="525"/>
        <w:outlineLvl w:val="1"/>
        <w:rPr>
          <w:color w:val="000000" w:themeColor="text1"/>
          <w14:textFill>
            <w14:solidFill>
              <w14:schemeClr w14:val="tx1"/>
            </w14:solidFill>
          </w14:textFill>
        </w:rPr>
      </w:pPr>
      <w:bookmarkStart w:id="71" w:name="_Toc163827830"/>
      <w:r>
        <w:rPr>
          <w:rFonts w:hint="eastAsia"/>
          <w:color w:val="000000" w:themeColor="text1"/>
          <w14:textFill>
            <w14:solidFill>
              <w14:schemeClr w14:val="tx1"/>
            </w14:solidFill>
          </w14:textFill>
        </w:rPr>
        <w:t>产品</w:t>
      </w:r>
      <w:bookmarkEnd w:id="71"/>
      <w:r>
        <w:rPr>
          <w:rFonts w:hint="eastAsia"/>
          <w:color w:val="000000" w:themeColor="text1"/>
          <w14:textFill>
            <w14:solidFill>
              <w14:schemeClr w14:val="tx1"/>
            </w14:solidFill>
          </w14:textFill>
        </w:rPr>
        <w:t>包装</w:t>
      </w:r>
    </w:p>
    <w:p w14:paraId="58F3B847">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包装应设计成防止无烟艾灸仪被压碎。根据</w:t>
      </w:r>
      <w:r>
        <w:rPr>
          <w:color w:val="000000" w:themeColor="text1"/>
          <w14:textFill>
            <w14:solidFill>
              <w14:schemeClr w14:val="tx1"/>
            </w14:solidFill>
          </w14:textFill>
        </w:rPr>
        <w:t>GB/T 4857.5</w:t>
      </w:r>
      <w:r>
        <w:rPr>
          <w:rFonts w:hint="eastAsia"/>
          <w:color w:val="000000" w:themeColor="text1"/>
          <w14:textFill>
            <w14:solidFill>
              <w14:schemeClr w14:val="tx1"/>
            </w14:solidFill>
          </w14:textFill>
        </w:rPr>
        <w:t>-1992中给出的冲击试验，保护装置应保持90%以上的产品安全。</w:t>
      </w:r>
    </w:p>
    <w:p w14:paraId="6C3F4120">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本测试方法可以用</w:t>
      </w:r>
      <w:r>
        <w:rPr>
          <w:color w:val="000000" w:themeColor="text1"/>
          <w14:textFill>
            <w14:solidFill>
              <w14:schemeClr w14:val="tx1"/>
            </w14:solidFill>
          </w14:textFill>
        </w:rPr>
        <w:t>GB/T 4857.11-2005</w:t>
      </w:r>
      <w:r>
        <w:rPr>
          <w:rFonts w:hint="eastAsia"/>
          <w:color w:val="000000" w:themeColor="text1"/>
          <w14:textFill>
            <w14:solidFill>
              <w14:schemeClr w14:val="tx1"/>
            </w14:solidFill>
          </w14:textFill>
        </w:rPr>
        <w:t>或</w:t>
      </w:r>
      <w:r>
        <w:rPr>
          <w:color w:val="000000" w:themeColor="text1"/>
          <w14:textFill>
            <w14:solidFill>
              <w14:schemeClr w14:val="tx1"/>
            </w14:solidFill>
          </w14:textFill>
        </w:rPr>
        <w:t>GB/T 25162.1-2010</w:t>
      </w:r>
      <w:r>
        <w:rPr>
          <w:rFonts w:hint="eastAsia"/>
          <w:color w:val="000000" w:themeColor="text1"/>
          <w14:textFill>
            <w14:solidFill>
              <w14:schemeClr w14:val="tx1"/>
            </w14:solidFill>
          </w14:textFill>
        </w:rPr>
        <w:t>中给出的测试方法代替。</w:t>
      </w:r>
    </w:p>
    <w:p w14:paraId="3CBBF04D">
      <w:pPr>
        <w:spacing w:line="288" w:lineRule="auto"/>
        <w:rPr>
          <w:color w:val="000000" w:themeColor="text1"/>
          <w14:textFill>
            <w14:solidFill>
              <w14:schemeClr w14:val="tx1"/>
            </w14:solidFill>
          </w14:textFill>
        </w:rPr>
      </w:pPr>
    </w:p>
    <w:p w14:paraId="0254281F">
      <w:pPr>
        <w:spacing w:line="288" w:lineRule="auto"/>
        <w:rPr>
          <w:color w:val="000000" w:themeColor="text1"/>
          <w14:textFill>
            <w14:solidFill>
              <w14:schemeClr w14:val="tx1"/>
            </w14:solidFill>
          </w14:textFill>
        </w:rPr>
      </w:pPr>
    </w:p>
    <w:p w14:paraId="472DE1E2">
      <w:pPr>
        <w:spacing w:line="288" w:lineRule="auto"/>
        <w:rPr>
          <w:color w:val="000000" w:themeColor="text1"/>
          <w14:textFill>
            <w14:solidFill>
              <w14:schemeClr w14:val="tx1"/>
            </w14:solidFill>
          </w14:textFill>
        </w:rPr>
      </w:pPr>
    </w:p>
    <w:p w14:paraId="0EC3DB4C">
      <w:pPr>
        <w:spacing w:line="288" w:lineRule="auto"/>
        <w:rPr>
          <w:color w:val="000000" w:themeColor="text1"/>
          <w14:textFill>
            <w14:solidFill>
              <w14:schemeClr w14:val="tx1"/>
            </w14:solidFill>
          </w14:textFill>
        </w:rPr>
        <w:sectPr>
          <w:footerReference r:id="rId14" w:type="default"/>
          <w:pgSz w:w="11906" w:h="16838"/>
          <w:pgMar w:top="1418" w:right="1418" w:bottom="1418" w:left="1418" w:header="851" w:footer="639" w:gutter="0"/>
          <w:pgNumType w:start="1"/>
          <w:cols w:space="425" w:num="1"/>
          <w:formProt w:val="0"/>
          <w:docGrid w:type="lines" w:linePitch="312" w:charSpace="0"/>
        </w:sectPr>
      </w:pPr>
    </w:p>
    <w:p w14:paraId="09B4864B">
      <w:pPr>
        <w:pStyle w:val="53"/>
        <w:spacing w:after="468"/>
        <w:rPr>
          <w:color w:val="000000" w:themeColor="text1"/>
          <w14:textFill>
            <w14:solidFill>
              <w14:schemeClr w14:val="tx1"/>
            </w14:solidFill>
          </w14:textFill>
        </w:rPr>
      </w:pPr>
      <w:bookmarkStart w:id="72" w:name="_Toc43424909"/>
      <w:bookmarkStart w:id="73" w:name="_Toc43424470"/>
      <w:bookmarkStart w:id="74" w:name="_Toc43424755"/>
      <w:bookmarkStart w:id="75" w:name="_Toc43424594"/>
      <w:bookmarkStart w:id="76" w:name="_Toc61098541"/>
      <w:bookmarkStart w:id="77" w:name="_Toc61106057"/>
      <w:bookmarkStart w:id="78" w:name="_Toc61105717"/>
      <w:bookmarkStart w:id="79" w:name="_Toc163827831"/>
      <w:r>
        <w:rPr>
          <w:rFonts w:hint="eastAsia"/>
          <w:color w:val="000000" w:themeColor="text1"/>
          <w14:textFill>
            <w14:solidFill>
              <w14:schemeClr w14:val="tx1"/>
            </w14:solidFill>
          </w14:textFill>
        </w:rPr>
        <w:t>附　录　A</w:t>
      </w:r>
      <w:bookmarkEnd w:id="72"/>
      <w:bookmarkEnd w:id="73"/>
      <w:bookmarkEnd w:id="74"/>
      <w:bookmarkEnd w:id="75"/>
      <w:bookmarkEnd w:id="76"/>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（资料性）</w:t>
      </w:r>
      <w:r>
        <w:rPr>
          <w:color w:val="000000" w:themeColor="text1"/>
          <w14:textFill>
            <w14:solidFill>
              <w14:schemeClr w14:val="tx1"/>
            </w14:solidFill>
          </w14:textFill>
        </w:rPr>
        <w:br w:type="textWrapping"/>
      </w:r>
      <w:bookmarkEnd w:id="77"/>
      <w:bookmarkEnd w:id="78"/>
      <w:bookmarkStart w:id="80" w:name="_Hlk43426359"/>
      <w:r>
        <w:rPr>
          <w:rFonts w:hint="eastAsia"/>
          <w:color w:val="000000" w:themeColor="text1"/>
          <w14:textFill>
            <w14:solidFill>
              <w14:schemeClr w14:val="tx1"/>
            </w14:solidFill>
          </w14:textFill>
        </w:rPr>
        <w:t>室内空气质量标准</w:t>
      </w:r>
      <w:bookmarkEnd w:id="79"/>
    </w:p>
    <w:bookmarkEnd w:id="80"/>
    <w:p w14:paraId="1D497013">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bookmarkStart w:id="81" w:name="_Toc43424472"/>
      <w:bookmarkStart w:id="82" w:name="_Toc61098543"/>
      <w:bookmarkStart w:id="83" w:name="_Toc43424757"/>
      <w:bookmarkStart w:id="84" w:name="_Toc43424596"/>
      <w:bookmarkStart w:id="85" w:name="_Toc43424911"/>
      <w:r>
        <w:rPr>
          <w:rFonts w:hint="eastAsia" w:ascii="黑体" w:hAnsi="黑体" w:eastAsia="黑体"/>
          <w:bCs/>
          <w:color w:val="000000" w:themeColor="text1"/>
          <w14:textFill>
            <w14:solidFill>
              <w14:schemeClr w14:val="tx1"/>
            </w14:solidFill>
          </w14:textFill>
        </w:rPr>
        <w:t>A.1</w:t>
      </w:r>
      <w:r>
        <w:rPr>
          <w:rFonts w:ascii="黑体" w:hAnsi="黑体" w:eastAsia="黑体"/>
          <w:bCs/>
          <w:color w:val="000000" w:themeColor="text1"/>
          <w14:textFill>
            <w14:solidFill>
              <w14:schemeClr w14:val="tx1"/>
            </w14:solidFill>
          </w14:textFill>
        </w:rPr>
        <w:t xml:space="preserve"> </w:t>
      </w:r>
      <w:r>
        <w:rPr>
          <w:rFonts w:hint="eastAsia" w:ascii="黑体" w:hAnsi="黑体" w:eastAsia="黑体"/>
          <w:bCs/>
          <w:color w:val="000000" w:themeColor="text1"/>
          <w14:textFill>
            <w14:solidFill>
              <w14:schemeClr w14:val="tx1"/>
            </w14:solidFill>
          </w14:textFill>
        </w:rPr>
        <w:t>概述</w:t>
      </w:r>
    </w:p>
    <w:bookmarkEnd w:id="81"/>
    <w:bookmarkEnd w:id="82"/>
    <w:bookmarkEnd w:id="83"/>
    <w:bookmarkEnd w:id="84"/>
    <w:bookmarkEnd w:id="85"/>
    <w:p w14:paraId="350D19ED">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艾灸时产生的烟雾中含有多种化学物质。虽然无烟艾灸仪是为了减少有毒化学物质而设计的，但 有毒化学物质的浓度应该得到控制。表A.1是引自GB/T</w:t>
      </w:r>
      <w:r>
        <w:rPr>
          <w:color w:val="000000" w:themeColor="text1"/>
          <w14:textFill>
            <w14:solidFill>
              <w14:schemeClr w14:val="tx1"/>
            </w14:solidFill>
          </w14:textFill>
        </w:rPr>
        <w:t xml:space="preserve"> 18883-2022</w:t>
      </w:r>
      <w:r>
        <w:rPr>
          <w:rFonts w:hint="eastAsia"/>
          <w:color w:val="000000" w:themeColor="text1"/>
          <w14:textFill>
            <w14:solidFill>
              <w14:schemeClr w14:val="tx1"/>
            </w14:solidFill>
          </w14:textFill>
        </w:rPr>
        <w:t>室内空气质量标准的指标及要求。</w:t>
      </w:r>
    </w:p>
    <w:p w14:paraId="731A15AC">
      <w:pPr>
        <w:spacing w:line="288" w:lineRule="auto"/>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表</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A.1　GB/T</w:t>
      </w:r>
      <w:r>
        <w:rPr>
          <w:rFonts w:ascii="黑体" w:hAnsi="黑体" w:eastAsia="黑体"/>
          <w:color w:val="000000" w:themeColor="text1"/>
          <w14:textFill>
            <w14:solidFill>
              <w14:schemeClr w14:val="tx1"/>
            </w14:solidFill>
          </w14:textFill>
        </w:rPr>
        <w:t xml:space="preserve"> 18883-2022</w:t>
      </w:r>
      <w:r>
        <w:rPr>
          <w:rFonts w:hint="eastAsia" w:ascii="黑体" w:hAnsi="黑体" w:eastAsia="黑体"/>
          <w:color w:val="000000" w:themeColor="text1"/>
          <w14:textFill>
            <w14:solidFill>
              <w14:schemeClr w14:val="tx1"/>
            </w14:solidFill>
          </w14:textFill>
        </w:rPr>
        <w:t>室内空气质量要求概要</w:t>
      </w:r>
    </w:p>
    <w:p w14:paraId="3488C87F">
      <w:pPr>
        <w:ind w:firstLine="0" w:firstLineChars="0"/>
        <w:jc w:val="center"/>
        <w:rPr>
          <w:color w:val="000000" w:themeColor="text1"/>
          <w14:textFill>
            <w14:solidFill>
              <w14:schemeClr w14:val="tx1"/>
            </w14:solidFill>
          </w14:textFill>
        </w:rPr>
      </w:pPr>
      <w:r>
        <w:drawing>
          <wp:inline distT="0" distB="0" distL="0" distR="0">
            <wp:extent cx="4691380" cy="29813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697861" cy="2985416"/>
                    </a:xfrm>
                    <a:prstGeom prst="rect">
                      <a:avLst/>
                    </a:prstGeom>
                  </pic:spPr>
                </pic:pic>
              </a:graphicData>
            </a:graphic>
          </wp:inline>
        </w:drawing>
      </w:r>
    </w:p>
    <w:p w14:paraId="61FC7EA7">
      <w:pPr>
        <w:ind w:firstLine="0" w:firstLineChars="0"/>
        <w:jc w:val="center"/>
        <w:rPr>
          <w:color w:val="000000" w:themeColor="text1"/>
          <w14:textFill>
            <w14:solidFill>
              <w14:schemeClr w14:val="tx1"/>
            </w14:solidFill>
          </w14:textFill>
        </w:rPr>
      </w:pPr>
      <w:r>
        <w:drawing>
          <wp:inline distT="0" distB="0" distL="0" distR="0">
            <wp:extent cx="4638675" cy="29641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4668965" cy="2984122"/>
                    </a:xfrm>
                    <a:prstGeom prst="rect">
                      <a:avLst/>
                    </a:prstGeom>
                  </pic:spPr>
                </pic:pic>
              </a:graphicData>
            </a:graphic>
          </wp:inline>
        </w:drawing>
      </w:r>
    </w:p>
    <w:p w14:paraId="263572D6">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A.2　颗粒物(PM)</w:t>
      </w:r>
    </w:p>
    <w:p w14:paraId="27F6B549">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A.2.1 PM10</w:t>
      </w:r>
    </w:p>
    <w:p w14:paraId="7714F757">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PM10年平均浓度不超过20 </w:t>
      </w:r>
      <w:r>
        <w:rPr>
          <w:rFonts w:ascii="Times New Roman"/>
          <w:color w:val="000000" w:themeColor="text1"/>
          <w14:textFill>
            <w14:solidFill>
              <w14:schemeClr w14:val="tx1"/>
            </w14:solidFill>
          </w14:textFill>
        </w:rPr>
        <w:t>μg</w:t>
      </w:r>
      <w:r>
        <w:rPr>
          <w:rFonts w:hint="eastAsia"/>
          <w:color w:val="000000" w:themeColor="text1"/>
          <w14:textFill>
            <w14:solidFill>
              <w14:schemeClr w14:val="tx1"/>
            </w14:solidFill>
          </w14:textFill>
        </w:rPr>
        <w:t>/m³。24小时PM10浓度不超过50 μg/m³。</w:t>
      </w:r>
    </w:p>
    <w:p w14:paraId="61EA3704">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A.2.2 PM2.5</w:t>
      </w:r>
    </w:p>
    <w:p w14:paraId="4448B76E">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PM2.5年平均浓度不超过10 μg/m³。24小时PM2.5浓度不超过25 μg/m³。</w:t>
      </w:r>
    </w:p>
    <w:p w14:paraId="491E03CF">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A.3　挥发性有机化合物</w:t>
      </w:r>
    </w:p>
    <w:p w14:paraId="70BD1249">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A.3.1苯</w:t>
      </w:r>
    </w:p>
    <w:p w14:paraId="6D493667">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苯对人类有致癌性，没有安全的暴露水平可以推荐。</w:t>
      </w:r>
    </w:p>
    <w:p w14:paraId="11E67317">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A.3.3甲苯</w:t>
      </w:r>
    </w:p>
    <w:p w14:paraId="2DC4906D">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7天平均甲苯浓度低于0.26 mg/m³。在平均30分钟内，甲苯的浓度应低于1 mg/m³。</w:t>
      </w:r>
    </w:p>
    <w:p w14:paraId="1B316BF7">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w:t>
      </w:r>
      <w:r>
        <w:rPr>
          <w:rFonts w:ascii="黑体" w:hAnsi="黑体" w:eastAsia="黑体"/>
          <w:bCs/>
          <w:color w:val="000000" w:themeColor="text1"/>
          <w14:textFill>
            <w14:solidFill>
              <w14:schemeClr w14:val="tx1"/>
            </w14:solidFill>
          </w14:textFill>
        </w:rPr>
        <w:t>.4</w:t>
      </w:r>
      <w:r>
        <w:rPr>
          <w:rFonts w:hint="eastAsia" w:ascii="黑体" w:hAnsi="黑体" w:eastAsia="黑体"/>
          <w:bCs/>
          <w:color w:val="000000" w:themeColor="text1"/>
          <w14:textFill>
            <w14:solidFill>
              <w14:schemeClr w14:val="tx1"/>
            </w14:solidFill>
          </w14:textFill>
        </w:rPr>
        <w:t>　醛</w:t>
      </w:r>
    </w:p>
    <w:p w14:paraId="232E4C6E">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平均30分钟内甲醛浓度不得超过0.1 mg/m³。</w:t>
      </w:r>
    </w:p>
    <w:p w14:paraId="4AC7EC44">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A.5　一氧化碳</w:t>
      </w:r>
    </w:p>
    <w:p w14:paraId="725D6C3E">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24 h内CO平均浓度不超过7 mg/m³, 8</w:t>
      </w:r>
      <w:r>
        <w:rPr>
          <w:color w:val="000000" w:themeColor="text1"/>
          <w14:textFill>
            <w14:solidFill>
              <w14:schemeClr w14:val="tx1"/>
            </w14:solidFill>
          </w14:textFill>
        </w:rPr>
        <w:t xml:space="preserve"> h</w:t>
      </w:r>
      <w:r>
        <w:rPr>
          <w:rFonts w:hint="eastAsia"/>
          <w:color w:val="000000" w:themeColor="text1"/>
          <w14:textFill>
            <w14:solidFill>
              <w14:schemeClr w14:val="tx1"/>
            </w14:solidFill>
          </w14:textFill>
        </w:rPr>
        <w:t>内不超过10 mg/m³, 1 h内不超过35 mg/m³ ，15 min内不超过100 mg/m³。</w:t>
      </w:r>
    </w:p>
    <w:p w14:paraId="30204A96">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A.6　二氧化氮(NO2)</w:t>
      </w:r>
    </w:p>
    <w:p w14:paraId="4F6B0641">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NO2的年平均浓度不得超过4</w:t>
      </w:r>
      <w:r>
        <w:rPr>
          <w:color w:val="000000" w:themeColor="text1"/>
          <w14:textFill>
            <w14:solidFill>
              <w14:schemeClr w14:val="tx1"/>
            </w14:solidFill>
          </w14:textFill>
        </w:rPr>
        <w:t>0 μg/m³</w:t>
      </w:r>
      <w:r>
        <w:rPr>
          <w:rFonts w:hint="eastAsia"/>
          <w:color w:val="000000" w:themeColor="text1"/>
          <w14:textFill>
            <w14:solidFill>
              <w14:schemeClr w14:val="tx1"/>
            </w14:solidFill>
          </w14:textFill>
        </w:rPr>
        <w:t>；一小时NO2浓度不超过2</w:t>
      </w:r>
      <w:r>
        <w:rPr>
          <w:color w:val="000000" w:themeColor="text1"/>
          <w14:textFill>
            <w14:solidFill>
              <w14:schemeClr w14:val="tx1"/>
            </w14:solidFill>
          </w14:textFill>
        </w:rPr>
        <w:t>00 μg/m³</w:t>
      </w:r>
      <w:r>
        <w:rPr>
          <w:rFonts w:hint="eastAsia"/>
          <w:color w:val="000000" w:themeColor="text1"/>
          <w14:textFill>
            <w14:solidFill>
              <w14:schemeClr w14:val="tx1"/>
            </w14:solidFill>
          </w14:textFill>
        </w:rPr>
        <w:t>。</w:t>
      </w:r>
    </w:p>
    <w:p w14:paraId="2C1BD4E2">
      <w:pPr>
        <w:spacing w:line="288" w:lineRule="auto"/>
        <w:ind w:left="850" w:leftChars="200" w:hanging="430" w:hangingChars="205"/>
        <w:rPr>
          <w:color w:val="000000" w:themeColor="text1"/>
          <w14:textFill>
            <w14:solidFill>
              <w14:schemeClr w14:val="tx1"/>
            </w14:solidFill>
          </w14:textFill>
        </w:rPr>
      </w:pPr>
      <w:r>
        <w:rPr>
          <w:color w:val="000000" w:themeColor="text1"/>
          <w14:textFill>
            <w14:solidFill>
              <w14:schemeClr w14:val="tx1"/>
            </w14:solidFill>
          </w14:textFill>
        </w:rPr>
        <w:br w:type="page"/>
      </w:r>
    </w:p>
    <w:p w14:paraId="2E10ADAB">
      <w:pPr>
        <w:pStyle w:val="53"/>
        <w:spacing w:after="468"/>
        <w:rPr>
          <w:color w:val="000000" w:themeColor="text1"/>
          <w14:textFill>
            <w14:solidFill>
              <w14:schemeClr w14:val="tx1"/>
            </w14:solidFill>
          </w14:textFill>
        </w:rPr>
      </w:pPr>
      <w:bookmarkStart w:id="86" w:name="_Toc43424758"/>
      <w:bookmarkStart w:id="87" w:name="_Toc43424912"/>
      <w:bookmarkStart w:id="88" w:name="_Toc43424597"/>
      <w:bookmarkStart w:id="89" w:name="_Toc43424473"/>
      <w:bookmarkStart w:id="90" w:name="_Toc61098544"/>
      <w:bookmarkStart w:id="91" w:name="_Toc61105720"/>
      <w:bookmarkStart w:id="92" w:name="_Toc61106060"/>
      <w:bookmarkStart w:id="93" w:name="_Toc163827832"/>
      <w:r>
        <w:rPr>
          <w:rFonts w:hint="eastAsia"/>
          <w:color w:val="000000" w:themeColor="text1"/>
          <w14:textFill>
            <w14:solidFill>
              <w14:schemeClr w14:val="tx1"/>
            </w14:solidFill>
          </w14:textFill>
        </w:rPr>
        <w:t>附　录　</w:t>
      </w:r>
      <w:r>
        <w:rPr>
          <w:color w:val="000000" w:themeColor="text1"/>
          <w14:textFill>
            <w14:solidFill>
              <w14:schemeClr w14:val="tx1"/>
            </w14:solidFill>
          </w14:textFill>
        </w:rPr>
        <w:t>B</w:t>
      </w:r>
      <w:bookmarkEnd w:id="86"/>
      <w:bookmarkEnd w:id="87"/>
      <w:bookmarkEnd w:id="88"/>
      <w:bookmarkEnd w:id="89"/>
      <w:bookmarkEnd w:id="90"/>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（规范性）</w:t>
      </w:r>
      <w:r>
        <w:rPr>
          <w:color w:val="000000" w:themeColor="text1"/>
          <w14:textFill>
            <w14:solidFill>
              <w14:schemeClr w14:val="tx1"/>
            </w14:solidFill>
          </w14:textFill>
        </w:rPr>
        <w:br w:type="textWrapping"/>
      </w:r>
      <w:bookmarkEnd w:id="91"/>
      <w:bookmarkEnd w:id="92"/>
      <w:bookmarkStart w:id="94" w:name="_Hlk43426382"/>
      <w:r>
        <w:rPr>
          <w:rFonts w:hint="eastAsia"/>
          <w:color w:val="000000" w:themeColor="text1"/>
          <w14:textFill>
            <w14:solidFill>
              <w14:schemeClr w14:val="tx1"/>
            </w14:solidFill>
          </w14:textFill>
        </w:rPr>
        <w:t>艾烟密度测量的试验方法</w:t>
      </w:r>
      <w:bookmarkEnd w:id="93"/>
    </w:p>
    <w:bookmarkEnd w:id="94"/>
    <w:p w14:paraId="4527F6A9">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bookmarkStart w:id="95" w:name="_Toc408863775"/>
      <w:bookmarkStart w:id="96" w:name="OLE_LINK15"/>
      <w:bookmarkStart w:id="97" w:name="_Toc408863747"/>
      <w:bookmarkStart w:id="98" w:name="OLE_LINK14"/>
      <w:r>
        <w:rPr>
          <w:rFonts w:hint="eastAsia" w:ascii="黑体" w:hAnsi="黑体" w:eastAsia="黑体"/>
          <w:bCs/>
          <w:color w:val="000000" w:themeColor="text1"/>
          <w14:textFill>
            <w14:solidFill>
              <w14:schemeClr w14:val="tx1"/>
            </w14:solidFill>
          </w14:textFill>
        </w:rPr>
        <w:t>B.1</w:t>
      </w:r>
      <w:r>
        <w:rPr>
          <w:rFonts w:ascii="黑体" w:hAnsi="黑体" w:eastAsia="黑体"/>
          <w:bCs/>
          <w:color w:val="000000" w:themeColor="text1"/>
          <w14:textFill>
            <w14:solidFill>
              <w14:schemeClr w14:val="tx1"/>
            </w14:solidFill>
          </w14:textFill>
        </w:rPr>
        <w:t xml:space="preserve"> </w:t>
      </w:r>
      <w:r>
        <w:rPr>
          <w:rFonts w:hint="eastAsia" w:ascii="黑体" w:hAnsi="黑体" w:eastAsia="黑体"/>
          <w:bCs/>
          <w:color w:val="000000" w:themeColor="text1"/>
          <w14:textFill>
            <w14:solidFill>
              <w14:schemeClr w14:val="tx1"/>
            </w14:solidFill>
          </w14:textFill>
        </w:rPr>
        <w:t>概述</w:t>
      </w:r>
    </w:p>
    <w:p w14:paraId="238D741E">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本附录描述了艾烟密度的测试方法，包括测量仪器、测试条件和计算烟密度的公式。</w:t>
      </w:r>
    </w:p>
    <w:p w14:paraId="57EFD67C">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有关艾烟密度的其他测试方法，请参阅</w:t>
      </w:r>
      <w:r>
        <w:rPr>
          <w:color w:val="000000" w:themeColor="text1"/>
          <w14:textFill>
            <w14:solidFill>
              <w14:schemeClr w14:val="tx1"/>
            </w14:solidFill>
          </w14:textFill>
        </w:rPr>
        <w:t>GB/T 8323.2-2008</w:t>
      </w:r>
      <w:r>
        <w:rPr>
          <w:rFonts w:hint="eastAsia"/>
          <w:color w:val="000000" w:themeColor="text1"/>
          <w14:textFill>
            <w14:solidFill>
              <w14:schemeClr w14:val="tx1"/>
            </w14:solidFill>
          </w14:textFill>
        </w:rPr>
        <w:t>。</w:t>
      </w:r>
    </w:p>
    <w:p w14:paraId="376C3252">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测试方法可以根据每个产品的形状或尺寸以及任何其他证明同样适用的方法进行修改。</w:t>
      </w:r>
    </w:p>
    <w:p w14:paraId="6D0B63F3">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B.2烟雾密度测量仪</w:t>
      </w:r>
    </w:p>
    <w:p w14:paraId="6F041DCA">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B.2.1一般</w:t>
      </w:r>
    </w:p>
    <w:p w14:paraId="650A2FA6">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艾烟密度测量装置应由一个室和光度系统构成。</w:t>
      </w:r>
    </w:p>
    <w:p w14:paraId="4C61562C">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B.2.2烟室</w:t>
      </w:r>
    </w:p>
    <w:p w14:paraId="125ED7B8">
      <w:pPr>
        <w:spacing w:line="288"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改造后的烟室不得有加热炉、燃烧器及相关装置。它应该包含一个用于艾灸仪的托盘，并且可以手动燃烧 (见图B.1)。</w:t>
      </w:r>
    </w:p>
    <w:p w14:paraId="02D589CB">
      <w:pPr>
        <w:tabs>
          <w:tab w:val="clear" w:pos="4201"/>
          <w:tab w:val="clear" w:pos="9298"/>
        </w:tabs>
        <w:autoSpaceDE/>
        <w:autoSpaceDN/>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br w:type="page"/>
      </w:r>
    </w:p>
    <w:p w14:paraId="4BB1B9B5">
      <w:pPr>
        <w:spacing w:line="288" w:lineRule="auto"/>
        <w:ind w:firstLine="300"/>
        <w:jc w:val="right"/>
        <w:rPr>
          <w:rFonts w:hint="eastAsia"/>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单位为毫米</w:t>
      </w:r>
    </w:p>
    <w:p w14:paraId="1A76A5BE">
      <w:pPr>
        <w:spacing w:line="288" w:lineRule="auto"/>
        <w:ind w:left="848" w:hanging="848" w:hangingChars="404"/>
      </w:pPr>
      <w:r>
        <w:drawing>
          <wp:inline distT="0" distB="0" distL="0" distR="0">
            <wp:extent cx="5629275" cy="57238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rcRect b="19229"/>
                    <a:stretch>
                      <a:fillRect/>
                    </a:stretch>
                  </pic:blipFill>
                  <pic:spPr>
                    <a:xfrm>
                      <a:off x="0" y="0"/>
                      <a:ext cx="5629275" cy="5723907"/>
                    </a:xfrm>
                    <a:prstGeom prst="rect">
                      <a:avLst/>
                    </a:prstGeom>
                    <a:ln>
                      <a:noFill/>
                    </a:ln>
                  </pic:spPr>
                </pic:pic>
              </a:graphicData>
            </a:graphic>
          </wp:inline>
        </w:drawing>
      </w:r>
    </w:p>
    <w:p w14:paraId="5EC43948">
      <w:pPr>
        <w:spacing w:line="288" w:lineRule="auto"/>
        <w:ind w:left="1020" w:leftChars="200" w:hanging="600" w:hangingChars="400"/>
        <w:rPr>
          <w:rFonts w:hint="eastAsia"/>
          <w:sz w:val="15"/>
          <w:szCs w:val="13"/>
        </w:rPr>
      </w:pPr>
      <w:r>
        <w:rPr>
          <w:rFonts w:hint="eastAsia"/>
          <w:sz w:val="15"/>
          <w:szCs w:val="13"/>
        </w:rPr>
        <w:t>标引序号说明：</w:t>
      </w:r>
    </w:p>
    <w:p w14:paraId="748965B6">
      <w:pPr>
        <w:spacing w:line="288" w:lineRule="auto"/>
        <w:ind w:left="1020" w:leftChars="200" w:hanging="600" w:hangingChars="400"/>
        <w:rPr>
          <w:sz w:val="15"/>
          <w:szCs w:val="13"/>
        </w:rPr>
      </w:pPr>
      <w:r>
        <w:rPr>
          <w:rFonts w:hint="eastAsia"/>
          <w:sz w:val="15"/>
          <w:szCs w:val="13"/>
        </w:rPr>
        <w:t>A——光电倍增管外壳</w:t>
      </w:r>
    </w:p>
    <w:p w14:paraId="70897C11">
      <w:pPr>
        <w:spacing w:line="288" w:lineRule="auto"/>
        <w:ind w:left="1020" w:leftChars="200" w:hanging="600" w:hangingChars="400"/>
        <w:rPr>
          <w:sz w:val="15"/>
          <w:szCs w:val="13"/>
        </w:rPr>
      </w:pPr>
      <w:r>
        <w:rPr>
          <w:rFonts w:hint="eastAsia"/>
          <w:sz w:val="15"/>
          <w:szCs w:val="13"/>
        </w:rPr>
        <w:t>B——室</w:t>
      </w:r>
    </w:p>
    <w:p w14:paraId="7AE89CA6">
      <w:pPr>
        <w:spacing w:line="288" w:lineRule="auto"/>
        <w:ind w:left="1020" w:leftChars="200" w:hanging="600" w:hangingChars="400"/>
        <w:rPr>
          <w:sz w:val="15"/>
          <w:szCs w:val="13"/>
        </w:rPr>
      </w:pPr>
      <w:r>
        <w:rPr>
          <w:rFonts w:hint="eastAsia"/>
          <w:sz w:val="15"/>
          <w:szCs w:val="13"/>
        </w:rPr>
        <w:t>C——光学系统棒</w:t>
      </w:r>
    </w:p>
    <w:p w14:paraId="7CC21870">
      <w:pPr>
        <w:spacing w:line="288" w:lineRule="auto"/>
        <w:ind w:left="1020" w:leftChars="200" w:hanging="600" w:hangingChars="400"/>
      </w:pPr>
      <w:r>
        <w:rPr>
          <w:rFonts w:hint="eastAsia"/>
          <w:sz w:val="15"/>
          <w:szCs w:val="13"/>
        </w:rPr>
        <w:t>D——光学系统落地窗</w:t>
      </w:r>
    </w:p>
    <w:p w14:paraId="4EC1E8E3">
      <w:pPr>
        <w:spacing w:line="288" w:lineRule="auto"/>
        <w:ind w:left="850" w:leftChars="200" w:hanging="430" w:hangingChars="205"/>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图B.1</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烟雾浓度测试仓</w:t>
      </w:r>
    </w:p>
    <w:p w14:paraId="18A72610">
      <w:pPr>
        <w:spacing w:line="288" w:lineRule="auto"/>
        <w:ind w:left="850" w:leftChars="200" w:hanging="430" w:hangingChars="205"/>
        <w:rPr>
          <w:color w:val="000000" w:themeColor="text1"/>
          <w14:textFill>
            <w14:solidFill>
              <w14:schemeClr w14:val="tx1"/>
            </w14:solidFill>
          </w14:textFill>
        </w:rPr>
      </w:pPr>
    </w:p>
    <w:p w14:paraId="0BBF09C4">
      <w:pPr>
        <w:spacing w:before="156" w:beforeLines="50" w:after="156" w:afterLines="50" w:line="276" w:lineRule="auto"/>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B.2.3</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光度计</w:t>
      </w:r>
    </w:p>
    <w:p w14:paraId="1400BF87">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光度计应附在烟室上，以光学方式测量烟密度(见图B.2)。</w:t>
      </w:r>
    </w:p>
    <w:p w14:paraId="2F8CA1EE">
      <w:pPr>
        <w:spacing w:line="288" w:lineRule="auto"/>
        <w:ind w:left="848" w:hanging="848" w:hangingChars="404"/>
      </w:pPr>
      <w:r>
        <w:drawing>
          <wp:inline distT="0" distB="0" distL="0" distR="0">
            <wp:extent cx="5759450" cy="4737735"/>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rcRect b="28016"/>
                    <a:stretch>
                      <a:fillRect/>
                    </a:stretch>
                  </pic:blipFill>
                  <pic:spPr>
                    <a:xfrm>
                      <a:off x="0" y="0"/>
                      <a:ext cx="5759450" cy="4738254"/>
                    </a:xfrm>
                    <a:prstGeom prst="rect">
                      <a:avLst/>
                    </a:prstGeom>
                    <a:ln>
                      <a:noFill/>
                    </a:ln>
                  </pic:spPr>
                </pic:pic>
              </a:graphicData>
            </a:graphic>
          </wp:inline>
        </w:drawing>
      </w:r>
    </w:p>
    <w:p w14:paraId="41440A87">
      <w:pPr>
        <w:spacing w:line="288" w:lineRule="auto"/>
        <w:ind w:left="1020" w:leftChars="200" w:hanging="600" w:hangingChars="400"/>
        <w:rPr>
          <w:rFonts w:hint="eastAsia"/>
          <w:sz w:val="15"/>
          <w:szCs w:val="13"/>
        </w:rPr>
      </w:pPr>
      <w:r>
        <w:rPr>
          <w:rFonts w:hint="eastAsia"/>
          <w:sz w:val="15"/>
          <w:szCs w:val="13"/>
        </w:rPr>
        <w:t>标引序号说明：</w:t>
      </w:r>
    </w:p>
    <w:p w14:paraId="7996A553">
      <w:pPr>
        <w:spacing w:line="288" w:lineRule="auto"/>
        <w:ind w:left="1026" w:leftChars="200" w:hanging="606" w:hangingChars="404"/>
        <w:rPr>
          <w:sz w:val="15"/>
          <w:szCs w:val="13"/>
        </w:rPr>
        <w:sectPr>
          <w:type w:val="oddPage"/>
          <w:pgSz w:w="11906" w:h="16838"/>
          <w:pgMar w:top="1418" w:right="1418" w:bottom="1418" w:left="1418" w:header="909" w:footer="639" w:gutter="0"/>
          <w:cols w:space="425" w:num="1"/>
          <w:formProt w:val="0"/>
          <w:docGrid w:type="lines" w:linePitch="312" w:charSpace="0"/>
        </w:sectPr>
      </w:pPr>
    </w:p>
    <w:p w14:paraId="62F74586">
      <w:pPr>
        <w:spacing w:line="288" w:lineRule="auto"/>
        <w:ind w:left="1026" w:leftChars="200" w:hanging="606" w:hangingChars="404"/>
        <w:rPr>
          <w:sz w:val="15"/>
          <w:szCs w:val="13"/>
        </w:rPr>
      </w:pPr>
      <w:r>
        <w:rPr>
          <w:rFonts w:hint="eastAsia"/>
          <w:sz w:val="15"/>
          <w:szCs w:val="13"/>
        </w:rPr>
        <w:t>A——光电倍增器外壳</w:t>
      </w:r>
    </w:p>
    <w:p w14:paraId="5B535153">
      <w:pPr>
        <w:spacing w:line="288" w:lineRule="auto"/>
        <w:ind w:left="1026" w:leftChars="200" w:hanging="606" w:hangingChars="404"/>
        <w:rPr>
          <w:sz w:val="15"/>
          <w:szCs w:val="13"/>
        </w:rPr>
      </w:pPr>
      <w:r>
        <w:rPr>
          <w:rFonts w:hint="eastAsia"/>
          <w:sz w:val="15"/>
          <w:szCs w:val="13"/>
        </w:rPr>
        <w:t>B——光电倍增管和插座</w:t>
      </w:r>
    </w:p>
    <w:p w14:paraId="48ABB426">
      <w:pPr>
        <w:spacing w:line="288" w:lineRule="auto"/>
        <w:ind w:left="1026" w:leftChars="200" w:hanging="606" w:hangingChars="404"/>
        <w:rPr>
          <w:sz w:val="15"/>
          <w:szCs w:val="13"/>
        </w:rPr>
      </w:pPr>
      <w:r>
        <w:rPr>
          <w:rFonts w:hint="eastAsia"/>
          <w:sz w:val="15"/>
          <w:szCs w:val="13"/>
        </w:rPr>
        <w:t>C——上快门叶片，在一个光圈上方设有ND2滤光片</w:t>
      </w:r>
    </w:p>
    <w:p w14:paraId="6A79554C">
      <w:pPr>
        <w:spacing w:line="288" w:lineRule="auto"/>
        <w:ind w:left="1026" w:leftChars="200" w:hanging="606" w:hangingChars="404"/>
        <w:rPr>
          <w:sz w:val="15"/>
          <w:szCs w:val="13"/>
        </w:rPr>
      </w:pPr>
      <w:r>
        <w:rPr>
          <w:rFonts w:hint="eastAsia"/>
          <w:sz w:val="15"/>
          <w:szCs w:val="13"/>
        </w:rPr>
        <w:t>D——下快门叶片，带单光圈</w:t>
      </w:r>
    </w:p>
    <w:p w14:paraId="799994F1">
      <w:pPr>
        <w:spacing w:line="288" w:lineRule="auto"/>
        <w:ind w:left="1026" w:leftChars="200" w:hanging="606" w:hangingChars="404"/>
        <w:rPr>
          <w:sz w:val="15"/>
          <w:szCs w:val="13"/>
        </w:rPr>
      </w:pPr>
      <w:r>
        <w:rPr>
          <w:rFonts w:hint="eastAsia"/>
          <w:sz w:val="15"/>
          <w:szCs w:val="13"/>
        </w:rPr>
        <w:t>E——乳白色扩散滤光片</w:t>
      </w:r>
    </w:p>
    <w:p w14:paraId="45BE4DC6">
      <w:pPr>
        <w:spacing w:line="288" w:lineRule="auto"/>
        <w:ind w:left="1026" w:leftChars="200" w:hanging="606" w:hangingChars="404"/>
        <w:rPr>
          <w:sz w:val="15"/>
          <w:szCs w:val="13"/>
        </w:rPr>
      </w:pPr>
      <w:r>
        <w:rPr>
          <w:rFonts w:hint="eastAsia"/>
          <w:sz w:val="15"/>
          <w:szCs w:val="13"/>
        </w:rPr>
        <w:t>F——光圈盘</w:t>
      </w:r>
    </w:p>
    <w:p w14:paraId="1ACFEAF5">
      <w:pPr>
        <w:spacing w:line="288" w:lineRule="auto"/>
        <w:ind w:left="1026" w:leftChars="200" w:hanging="606" w:hangingChars="404"/>
        <w:rPr>
          <w:sz w:val="15"/>
          <w:szCs w:val="13"/>
        </w:rPr>
      </w:pPr>
      <w:r>
        <w:rPr>
          <w:rFonts w:hint="eastAsia"/>
          <w:sz w:val="15"/>
          <w:szCs w:val="13"/>
        </w:rPr>
        <w:t>G——中性密度补偿滤波器（选自9）</w:t>
      </w:r>
    </w:p>
    <w:p w14:paraId="534019F6">
      <w:pPr>
        <w:spacing w:line="288" w:lineRule="auto"/>
        <w:ind w:left="1026" w:leftChars="200" w:hanging="606" w:hangingChars="404"/>
        <w:rPr>
          <w:sz w:val="15"/>
          <w:szCs w:val="13"/>
        </w:rPr>
      </w:pPr>
      <w:r>
        <w:rPr>
          <w:rFonts w:hint="eastAsia"/>
          <w:sz w:val="15"/>
          <w:szCs w:val="13"/>
        </w:rPr>
        <w:t>H——透镜，7倍视镜(2)</w:t>
      </w:r>
    </w:p>
    <w:p w14:paraId="66C5A0C9">
      <w:pPr>
        <w:spacing w:line="288" w:lineRule="auto"/>
        <w:ind w:left="1026" w:leftChars="200" w:hanging="606" w:hangingChars="404"/>
        <w:rPr>
          <w:sz w:val="15"/>
          <w:szCs w:val="13"/>
        </w:rPr>
      </w:pPr>
      <w:r>
        <w:rPr>
          <w:rFonts w:hint="eastAsia"/>
          <w:sz w:val="15"/>
          <w:szCs w:val="13"/>
        </w:rPr>
        <w:t>J——系统外壳(2)</w:t>
      </w:r>
    </w:p>
    <w:p w14:paraId="0023A6B5">
      <w:pPr>
        <w:spacing w:line="288" w:lineRule="auto"/>
        <w:ind w:left="1026" w:leftChars="200" w:hanging="606" w:hangingChars="404"/>
        <w:rPr>
          <w:sz w:val="15"/>
          <w:szCs w:val="13"/>
        </w:rPr>
      </w:pPr>
      <w:r>
        <w:rPr>
          <w:rFonts w:hint="eastAsia"/>
          <w:sz w:val="15"/>
          <w:szCs w:val="13"/>
        </w:rPr>
        <w:t>K——光学系统平台</w:t>
      </w:r>
    </w:p>
    <w:p w14:paraId="36FC7A93">
      <w:pPr>
        <w:spacing w:line="288" w:lineRule="auto"/>
        <w:ind w:left="1026" w:leftChars="200" w:hanging="606" w:hangingChars="404"/>
        <w:rPr>
          <w:sz w:val="15"/>
          <w:szCs w:val="13"/>
        </w:rPr>
      </w:pPr>
      <w:r>
        <w:rPr>
          <w:rFonts w:hint="eastAsia"/>
          <w:sz w:val="15"/>
          <w:szCs w:val="13"/>
        </w:rPr>
        <w:t>L——(2)光学窗(2)</w:t>
      </w:r>
    </w:p>
    <w:p w14:paraId="6E20BF18">
      <w:pPr>
        <w:spacing w:line="288" w:lineRule="auto"/>
        <w:ind w:left="1026" w:leftChars="200" w:hanging="606" w:hangingChars="404"/>
        <w:rPr>
          <w:sz w:val="15"/>
          <w:szCs w:val="13"/>
        </w:rPr>
      </w:pPr>
      <w:r>
        <w:rPr>
          <w:rFonts w:hint="eastAsia"/>
          <w:sz w:val="15"/>
          <w:szCs w:val="13"/>
        </w:rPr>
        <w:t>M——室</w:t>
      </w:r>
    </w:p>
    <w:p w14:paraId="3EE51EA5">
      <w:pPr>
        <w:spacing w:line="288" w:lineRule="auto"/>
        <w:ind w:left="1026" w:leftChars="200" w:hanging="606" w:hangingChars="404"/>
        <w:rPr>
          <w:sz w:val="15"/>
          <w:szCs w:val="13"/>
        </w:rPr>
      </w:pPr>
      <w:r>
        <w:rPr>
          <w:rFonts w:hint="eastAsia"/>
          <w:sz w:val="15"/>
          <w:szCs w:val="13"/>
        </w:rPr>
        <w:t>N——对准杆(3)</w:t>
      </w:r>
    </w:p>
    <w:p w14:paraId="63CDC87A">
      <w:pPr>
        <w:spacing w:line="288" w:lineRule="auto"/>
        <w:ind w:left="1026" w:leftChars="200" w:hanging="606" w:hangingChars="404"/>
        <w:rPr>
          <w:sz w:val="15"/>
          <w:szCs w:val="13"/>
        </w:rPr>
      </w:pPr>
      <w:r>
        <w:rPr>
          <w:rFonts w:hint="eastAsia"/>
          <w:sz w:val="15"/>
          <w:szCs w:val="13"/>
        </w:rPr>
        <w:t>P——平行光束，直径37，5毫米</w:t>
      </w:r>
    </w:p>
    <w:p w14:paraId="68D40458">
      <w:pPr>
        <w:spacing w:line="288" w:lineRule="auto"/>
        <w:ind w:left="1026" w:leftChars="200" w:hanging="606" w:hangingChars="404"/>
        <w:rPr>
          <w:sz w:val="15"/>
          <w:szCs w:val="13"/>
        </w:rPr>
      </w:pPr>
      <w:r>
        <w:rPr>
          <w:rFonts w:hint="eastAsia"/>
          <w:sz w:val="15"/>
          <w:szCs w:val="13"/>
        </w:rPr>
        <w:t>Q——光学窗加热器，硅橡胶玻璃纤维 50 W/115V</w:t>
      </w:r>
    </w:p>
    <w:p w14:paraId="26830477">
      <w:pPr>
        <w:spacing w:line="288" w:lineRule="auto"/>
        <w:ind w:left="1026" w:leftChars="200" w:hanging="606" w:hangingChars="404"/>
        <w:rPr>
          <w:sz w:val="15"/>
          <w:szCs w:val="13"/>
        </w:rPr>
      </w:pPr>
      <w:r>
        <w:rPr>
          <w:rFonts w:hint="eastAsia"/>
          <w:sz w:val="15"/>
          <w:szCs w:val="13"/>
        </w:rPr>
        <w:t>R——调节光源变压器，115/125 V-6V</w:t>
      </w:r>
    </w:p>
    <w:p w14:paraId="462525C4">
      <w:pPr>
        <w:spacing w:line="288" w:lineRule="auto"/>
        <w:ind w:left="1026" w:leftChars="200" w:hanging="606" w:hangingChars="404"/>
        <w:rPr>
          <w:sz w:val="15"/>
          <w:szCs w:val="13"/>
        </w:rPr>
      </w:pPr>
      <w:r>
        <w:rPr>
          <w:rFonts w:hint="eastAsia"/>
          <w:sz w:val="15"/>
          <w:szCs w:val="13"/>
        </w:rPr>
        <w:t>S——可调电阻，光源，调整为4V</w:t>
      </w:r>
    </w:p>
    <w:p w14:paraId="5B561106">
      <w:pPr>
        <w:spacing w:line="288" w:lineRule="auto"/>
        <w:ind w:left="1026" w:leftChars="200" w:hanging="606" w:hangingChars="404"/>
        <w:rPr>
          <w:sz w:val="15"/>
          <w:szCs w:val="13"/>
        </w:rPr>
      </w:pPr>
      <w:r>
        <w:rPr>
          <w:rFonts w:hint="eastAsia"/>
          <w:sz w:val="15"/>
          <w:szCs w:val="13"/>
        </w:rPr>
        <w:t>T——光源</w:t>
      </w:r>
    </w:p>
    <w:p w14:paraId="128F28F9">
      <w:pPr>
        <w:spacing w:line="288" w:lineRule="auto"/>
        <w:ind w:left="848" w:hanging="848" w:hangingChars="404"/>
        <w:sectPr>
          <w:type w:val="continuous"/>
          <w:pgSz w:w="11906" w:h="16838"/>
          <w:pgMar w:top="1418" w:right="1418" w:bottom="1418" w:left="1418" w:header="909" w:footer="639" w:gutter="0"/>
          <w:cols w:space="425" w:num="2"/>
          <w:formProt w:val="0"/>
          <w:docGrid w:type="lines" w:linePitch="312" w:charSpace="0"/>
        </w:sectPr>
      </w:pPr>
    </w:p>
    <w:p w14:paraId="700A9224">
      <w:pPr>
        <w:spacing w:line="288" w:lineRule="auto"/>
        <w:ind w:left="850" w:leftChars="200" w:hanging="430" w:hangingChars="205"/>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图B.2</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光度计结构图</w:t>
      </w:r>
    </w:p>
    <w:p w14:paraId="18BF8D5D">
      <w:pPr>
        <w:spacing w:line="288" w:lineRule="auto"/>
        <w:ind w:left="850" w:leftChars="200" w:hanging="430" w:hangingChars="205"/>
        <w:rPr>
          <w:color w:val="000000" w:themeColor="text1"/>
          <w14:textFill>
            <w14:solidFill>
              <w14:schemeClr w14:val="tx1"/>
            </w14:solidFill>
          </w14:textFill>
        </w:rPr>
      </w:pPr>
    </w:p>
    <w:p w14:paraId="5FD49DB6">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B.3　试验条件</w:t>
      </w:r>
    </w:p>
    <w:p w14:paraId="18A84F3B">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测试条件应遵循</w:t>
      </w:r>
      <w:r>
        <w:rPr>
          <w:color w:val="000000" w:themeColor="text1"/>
          <w14:textFill>
            <w14:solidFill>
              <w14:schemeClr w14:val="tx1"/>
            </w14:solidFill>
          </w14:textFill>
        </w:rPr>
        <w:t>GB/T 8323.2-2008</w:t>
      </w:r>
      <w:r>
        <w:rPr>
          <w:rFonts w:hint="eastAsia"/>
          <w:color w:val="000000" w:themeColor="text1"/>
          <w14:textFill>
            <w14:solidFill>
              <w14:schemeClr w14:val="tx1"/>
            </w14:solidFill>
          </w14:textFill>
        </w:rPr>
        <w:t>。</w:t>
      </w:r>
    </w:p>
    <w:p w14:paraId="4A729F7D">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注：在本文件中，测试时间限制为10min。</w:t>
      </w:r>
    </w:p>
    <w:p w14:paraId="28712E60">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B.4　烟密度计算公式</w:t>
      </w:r>
    </w:p>
    <w:p w14:paraId="234BC688">
      <w:pPr>
        <w:spacing w:before="156" w:beforeLines="50" w:after="156" w:afterLines="50" w:line="276" w:lineRule="auto"/>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B.4.1　总则</w:t>
      </w:r>
    </w:p>
    <w:p w14:paraId="49CB1B70">
      <w:pPr>
        <w:spacing w:line="288" w:lineRule="auto"/>
        <w:ind w:left="850" w:leftChars="200" w:hanging="430" w:hangingChars="205"/>
      </w:pPr>
      <w:r>
        <w:rPr>
          <w:rFonts w:hint="eastAsia"/>
          <w:color w:val="000000" w:themeColor="text1"/>
          <w14:textFill>
            <w14:solidFill>
              <w14:schemeClr w14:val="tx1"/>
            </w14:solidFill>
          </w14:textFill>
        </w:rPr>
        <w:t>烟密度按式(B.1)至(B.4)计算。</w:t>
      </w:r>
    </w:p>
    <w:p w14:paraId="7CABCF46">
      <w:pPr>
        <w:spacing w:line="288" w:lineRule="auto"/>
        <w:ind w:left="850" w:leftChars="200" w:hanging="430" w:hangingChars="205"/>
        <w:rPr>
          <w:rFonts w:hAnsi="Cambria Math"/>
        </w:rPr>
      </w:pPr>
      <w:r>
        <w:rPr>
          <w:rFonts w:hint="eastAsia"/>
          <w:i/>
          <w:iCs/>
        </w:rPr>
        <w:t>D</w:t>
      </w:r>
      <w:r>
        <w:rPr>
          <w:rFonts w:hint="eastAsia"/>
          <w:i/>
          <w:iCs/>
          <w:vertAlign w:val="subscript"/>
        </w:rPr>
        <w:t>S</w:t>
      </w:r>
      <w:r>
        <w:rPr>
          <w:rFonts w:hint="eastAsia"/>
        </w:rPr>
        <w:t>=</w:t>
      </w: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132log</m:t>
                </m:r>
                <m:ctrlPr>
                  <w:rPr>
                    <w:rFonts w:ascii="Cambria Math" w:hAnsi="Cambria Math"/>
                    <w:i/>
                  </w:rPr>
                </m:ctrlPr>
              </m:e>
              <m:sub>
                <m:r>
                  <m:rPr/>
                  <w:rPr>
                    <w:rFonts w:ascii="Cambria Math" w:hAnsi="Cambria Math"/>
                  </w:rPr>
                  <m:t>10</m:t>
                </m:r>
                <m:ctrlPr>
                  <w:rPr>
                    <w:rFonts w:ascii="Cambria Math" w:hAnsi="Cambria Math"/>
                    <w:i/>
                  </w:rPr>
                </m:ctrlPr>
              </m:sub>
            </m:sSub>
            <m:ctrlPr>
              <w:rPr>
                <w:rFonts w:ascii="Cambria Math" w:hAnsi="Cambria Math"/>
                <w:i/>
              </w:rPr>
            </m:ctrlPr>
          </m:fName>
          <m:e>
            <m:f>
              <m:fPr>
                <m:ctrlPr>
                  <w:rPr>
                    <w:rFonts w:ascii="Cambria Math" w:hAnsi="Cambria Math"/>
                    <w:i/>
                  </w:rPr>
                </m:ctrlPr>
              </m:fPr>
              <m:num>
                <m:r>
                  <m:rPr/>
                  <w:rPr>
                    <w:rFonts w:ascii="Cambria Math" w:hAnsi="Cambria Math"/>
                  </w:rPr>
                  <m:t>100</m:t>
                </m:r>
                <m:ctrlPr>
                  <w:rPr>
                    <w:rFonts w:ascii="Cambria Math" w:hAnsi="Cambria Math"/>
                    <w:i/>
                  </w:rPr>
                </m:ctrlPr>
              </m:num>
              <m:den>
                <m:r>
                  <m:rPr/>
                  <w:rPr>
                    <w:rFonts w:ascii="Cambria Math" w:hAnsi="Cambria Math"/>
                  </w:rPr>
                  <m:t>T</m:t>
                </m:r>
                <m:ctrlPr>
                  <w:rPr>
                    <w:rFonts w:ascii="Cambria Math" w:hAnsi="Cambria Math"/>
                    <w:i/>
                  </w:rPr>
                </m:ctrlPr>
              </m:den>
            </m:f>
            <m:ctrlPr>
              <w:rPr>
                <w:rFonts w:ascii="Cambria Math" w:hAnsi="Cambria Math"/>
                <w:i/>
              </w:rPr>
            </m:ctrlPr>
          </m:e>
        </m:func>
      </m:oMath>
      <w:r>
        <w:rPr>
          <w:rFonts w:hAnsi="Cambria Math"/>
        </w:rPr>
        <w:tab/>
      </w:r>
      <w:r>
        <w:rPr>
          <w:rFonts w:hAnsi="Cambria Math"/>
        </w:rPr>
        <w:tab/>
      </w:r>
      <w:r>
        <w:rPr>
          <w:rFonts w:hint="eastAsia" w:hAnsi="Cambria Math"/>
        </w:rPr>
        <w:t>（B.1）</w:t>
      </w:r>
    </w:p>
    <w:p w14:paraId="74ECE7C2">
      <w:pPr>
        <w:spacing w:line="288" w:lineRule="auto"/>
        <w:ind w:left="850" w:leftChars="200" w:hanging="430" w:hangingChars="205"/>
        <w:rPr>
          <w:rFonts w:hAnsi="Cambria Math"/>
        </w:rPr>
      </w:pPr>
      <w:r>
        <w:rPr>
          <w:rFonts w:hint="eastAsia" w:hAnsi="Cambria Math"/>
        </w:rPr>
        <w:t>注解</w:t>
      </w:r>
    </w:p>
    <w:p w14:paraId="66550668">
      <w:pPr>
        <w:spacing w:line="288" w:lineRule="auto"/>
        <w:ind w:left="850" w:leftChars="200" w:hanging="430" w:hangingChars="205"/>
        <w:rPr>
          <w:rFonts w:hAnsi="Cambria Math"/>
        </w:rPr>
      </w:pPr>
      <w:r>
        <w:rPr>
          <w:rFonts w:hint="eastAsia" w:hAnsi="Cambria Math"/>
          <w:i/>
          <w:iCs/>
        </w:rPr>
        <w:t>T</w:t>
      </w:r>
      <w:bookmarkStart w:id="99" w:name="OLE_LINK12"/>
      <w:r>
        <w:rPr>
          <w:rFonts w:hint="eastAsia" w:hAnsi="Cambria Math"/>
        </w:rPr>
        <w:t>——</w:t>
      </w:r>
      <w:bookmarkEnd w:id="99"/>
      <w:r>
        <w:rPr>
          <w:rFonts w:hint="eastAsia" w:hAnsi="Cambria Math"/>
        </w:rPr>
        <w:t>光的透射率;</w:t>
      </w:r>
    </w:p>
    <w:p w14:paraId="61A1EE4F">
      <w:pPr>
        <w:spacing w:line="288" w:lineRule="auto"/>
        <w:ind w:left="850" w:leftChars="200" w:hanging="430" w:hangingChars="205"/>
        <w:rPr>
          <w:rFonts w:hAnsi="Cambria Math"/>
        </w:rPr>
      </w:pPr>
      <w:r>
        <w:rPr>
          <w:rFonts w:hint="eastAsia"/>
          <w:i/>
          <w:iCs/>
        </w:rPr>
        <w:t>D</w:t>
      </w:r>
      <w:r>
        <w:rPr>
          <w:rFonts w:hint="eastAsia"/>
          <w:i/>
          <w:iCs/>
          <w:vertAlign w:val="subscript"/>
        </w:rPr>
        <w:t>S</w:t>
      </w:r>
      <w:r>
        <w:rPr>
          <w:rFonts w:hint="eastAsia" w:hAnsi="Cambria Math"/>
        </w:rPr>
        <w:t>——烟雾密度;</w:t>
      </w:r>
    </w:p>
    <w:p w14:paraId="6185CC3E">
      <w:pPr>
        <w:spacing w:line="288" w:lineRule="auto"/>
        <w:ind w:left="850" w:leftChars="200" w:hanging="430" w:hangingChars="205"/>
        <w:rPr>
          <w:rFonts w:hAnsi="Cambria Math"/>
        </w:rPr>
      </w:pPr>
      <w:r>
        <w:rPr>
          <w:rFonts w:hint="eastAsia" w:hAnsi="Cambria Math"/>
        </w:rPr>
        <w:t>132——是由燃烧室的条件引起的恒定值(见ISO 5659-2)</w:t>
      </w:r>
    </w:p>
    <w:p w14:paraId="2891C012">
      <w:pPr>
        <w:spacing w:line="288" w:lineRule="auto"/>
        <w:ind w:left="850" w:leftChars="200" w:hanging="430" w:hangingChars="205"/>
        <w:rPr>
          <w:rFonts w:hAnsi="Cambria Math"/>
        </w:rPr>
      </w:pPr>
      <w:r>
        <w:rPr>
          <w:rFonts w:hint="eastAsia" w:hAnsi="Cambria Math"/>
        </w:rPr>
        <w:t>B.4.3  最大烟雾密度</w:t>
      </w:r>
    </w:p>
    <w:p w14:paraId="253C36A0">
      <w:pPr>
        <w:spacing w:line="288" w:lineRule="auto"/>
        <w:ind w:left="850" w:leftChars="200" w:hanging="430" w:hangingChars="205"/>
        <w:rPr>
          <w:rFonts w:hAnsi="Cambria Math"/>
        </w:rPr>
      </w:pPr>
      <w:r>
        <w:rPr>
          <w:rFonts w:hint="eastAsia"/>
          <w:i/>
          <w:iCs/>
        </w:rPr>
        <w:t>D</w:t>
      </w:r>
      <w:r>
        <w:rPr>
          <w:rFonts w:hint="eastAsia"/>
          <w:i/>
          <w:iCs/>
          <w:vertAlign w:val="subscript"/>
        </w:rPr>
        <w:t>m</w:t>
      </w:r>
      <w:r>
        <w:rPr>
          <w:rFonts w:hint="eastAsia"/>
        </w:rPr>
        <w:t>=</w:t>
      </w: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132log</m:t>
                </m:r>
                <m:ctrlPr>
                  <w:rPr>
                    <w:rFonts w:ascii="Cambria Math" w:hAnsi="Cambria Math"/>
                    <w:i/>
                  </w:rPr>
                </m:ctrlPr>
              </m:e>
              <m:sub>
                <m:r>
                  <m:rPr/>
                  <w:rPr>
                    <w:rFonts w:ascii="Cambria Math" w:hAnsi="Cambria Math"/>
                  </w:rPr>
                  <m:t>10</m:t>
                </m:r>
                <m:ctrlPr>
                  <w:rPr>
                    <w:rFonts w:ascii="Cambria Math" w:hAnsi="Cambria Math"/>
                    <w:i/>
                  </w:rPr>
                </m:ctrlPr>
              </m:sub>
            </m:sSub>
            <m:ctrlPr>
              <w:rPr>
                <w:rFonts w:ascii="Cambria Math" w:hAnsi="Cambria Math"/>
                <w:i/>
              </w:rPr>
            </m:ctrlPr>
          </m:fName>
          <m:e>
            <m:f>
              <m:fPr>
                <m:ctrlPr>
                  <w:rPr>
                    <w:rFonts w:ascii="Cambria Math" w:hAnsi="Cambria Math"/>
                    <w:i/>
                  </w:rPr>
                </m:ctrlPr>
              </m:fPr>
              <m:num>
                <m:r>
                  <m:rPr/>
                  <w:rPr>
                    <w:rFonts w:ascii="Cambria Math" w:hAnsi="Cambria Math"/>
                  </w:rPr>
                  <m:t>100</m:t>
                </m:r>
                <m:ctrlPr>
                  <w:rPr>
                    <w:rFonts w:ascii="Cambria Math" w:hAnsi="Cambria Math"/>
                    <w:i/>
                  </w:rPr>
                </m:ctrlPr>
              </m:num>
              <m:den>
                <m:r>
                  <m:rPr/>
                  <w:rPr>
                    <w:rFonts w:ascii="Cambria Math" w:hAnsi="Cambria Math"/>
                  </w:rPr>
                  <m:t>T</m:t>
                </m:r>
                <m:r>
                  <m:rPr/>
                  <w:rPr>
                    <w:rFonts w:ascii="Cambria Math" w:hAnsi="Cambria Math"/>
                    <w:vertAlign w:val="subscript"/>
                  </w:rPr>
                  <m:t>r</m:t>
                </m:r>
                <m:ctrlPr>
                  <w:rPr>
                    <w:rFonts w:ascii="Cambria Math" w:hAnsi="Cambria Math"/>
                    <w:i/>
                  </w:rPr>
                </m:ctrlPr>
              </m:den>
            </m:f>
            <m:ctrlPr>
              <w:rPr>
                <w:rFonts w:ascii="Cambria Math" w:hAnsi="Cambria Math"/>
                <w:i/>
              </w:rPr>
            </m:ctrlPr>
          </m:e>
        </m:func>
      </m:oMath>
      <w:r>
        <w:tab/>
      </w:r>
      <w:r>
        <w:tab/>
      </w:r>
      <w:r>
        <w:rPr>
          <w:rFonts w:hint="eastAsia" w:hAnsi="Cambria Math"/>
        </w:rPr>
        <w:t>（B.2）</w:t>
      </w:r>
    </w:p>
    <w:p w14:paraId="292A64A5">
      <w:pPr>
        <w:spacing w:line="288" w:lineRule="auto"/>
        <w:ind w:left="850" w:leftChars="200" w:hanging="430" w:hangingChars="205"/>
        <w:rPr>
          <w:rFonts w:hAnsi="Cambria Math"/>
        </w:rPr>
      </w:pPr>
      <w:r>
        <w:rPr>
          <w:rFonts w:hint="eastAsia" w:hAnsi="Cambria Math"/>
        </w:rPr>
        <w:t xml:space="preserve">注解 </w:t>
      </w:r>
      <w:r>
        <w:rPr>
          <w:rFonts w:hint="eastAsia" w:hAnsi="Cambria Math"/>
          <w:i/>
          <w:iCs/>
        </w:rPr>
        <w:t>T</w:t>
      </w:r>
      <w:r>
        <w:rPr>
          <w:rFonts w:hint="eastAsia" w:hAnsi="Cambria Math"/>
          <w:i/>
          <w:iCs/>
          <w:vertAlign w:val="subscript"/>
        </w:rPr>
        <w:t>r</w:t>
      </w:r>
      <w:r>
        <w:rPr>
          <w:rFonts w:hint="eastAsia" w:hAnsi="Cambria Math"/>
        </w:rPr>
        <w:t>——光的透射率（最大范围）</w:t>
      </w:r>
    </w:p>
    <w:p w14:paraId="4AA4046C">
      <w:pPr>
        <w:spacing w:line="288" w:lineRule="auto"/>
        <w:ind w:left="850" w:leftChars="200" w:hanging="430" w:hangingChars="205"/>
        <w:rPr>
          <w:rFonts w:hAnsi="Cambria Math"/>
        </w:rPr>
      </w:pPr>
      <w:r>
        <w:rPr>
          <w:rFonts w:hint="eastAsia" w:hAnsi="Cambria Math"/>
        </w:rPr>
        <w:t>B.4.4  烟雾密度修正系数</w:t>
      </w:r>
    </w:p>
    <w:p w14:paraId="6F49A536">
      <w:pPr>
        <w:tabs>
          <w:tab w:val="center" w:pos="4253"/>
          <w:tab w:val="clear" w:pos="4201"/>
        </w:tabs>
        <w:spacing w:line="288" w:lineRule="auto"/>
        <w:ind w:left="850" w:leftChars="200" w:hanging="430" w:hangingChars="205"/>
        <w:jc w:val="center"/>
        <w:rPr>
          <w:rFonts w:hAnsi="Cambria Math"/>
        </w:rPr>
      </w:pPr>
      <w:r>
        <w:rPr>
          <w:rFonts w:hint="eastAsia"/>
          <w:i/>
          <w:iCs/>
        </w:rPr>
        <w:t>D</w:t>
      </w:r>
      <w:r>
        <w:rPr>
          <w:rFonts w:hint="eastAsia"/>
          <w:i/>
          <w:iCs/>
          <w:vertAlign w:val="subscript"/>
        </w:rPr>
        <w:t>C</w:t>
      </w:r>
      <w:r>
        <w:rPr>
          <w:rFonts w:hint="eastAsia"/>
        </w:rPr>
        <w:t>=</w:t>
      </w: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132log</m:t>
                </m:r>
                <m:ctrlPr>
                  <w:rPr>
                    <w:rFonts w:ascii="Cambria Math" w:hAnsi="Cambria Math"/>
                    <w:i/>
                  </w:rPr>
                </m:ctrlPr>
              </m:e>
              <m:sub>
                <m:r>
                  <m:rPr/>
                  <w:rPr>
                    <w:rFonts w:ascii="Cambria Math" w:hAnsi="Cambria Math"/>
                  </w:rPr>
                  <m:t>10</m:t>
                </m:r>
                <m:ctrlPr>
                  <w:rPr>
                    <w:rFonts w:ascii="Cambria Math" w:hAnsi="Cambria Math"/>
                    <w:i/>
                  </w:rPr>
                </m:ctrlPr>
              </m:sub>
            </m:sSub>
            <m:ctrlPr>
              <w:rPr>
                <w:rFonts w:ascii="Cambria Math" w:hAnsi="Cambria Math"/>
                <w:i/>
              </w:rPr>
            </m:ctrlPr>
          </m:fName>
          <m:e>
            <m:f>
              <m:fPr>
                <m:ctrlPr>
                  <w:rPr>
                    <w:rFonts w:ascii="Cambria Math" w:hAnsi="Cambria Math"/>
                    <w:i/>
                  </w:rPr>
                </m:ctrlPr>
              </m:fPr>
              <m:num>
                <m:r>
                  <m:rPr/>
                  <w:rPr>
                    <w:rFonts w:ascii="Cambria Math" w:hAnsi="Cambria Math"/>
                  </w:rPr>
                  <m:t>100</m:t>
                </m:r>
                <m:ctrlPr>
                  <w:rPr>
                    <w:rFonts w:ascii="Cambria Math" w:hAnsi="Cambria Math"/>
                    <w:i/>
                  </w:rPr>
                </m:ctrlPr>
              </m:num>
              <m:den>
                <m:r>
                  <m:rPr/>
                  <w:rPr>
                    <w:rFonts w:ascii="Cambria Math" w:hAnsi="Cambria Math"/>
                  </w:rPr>
                  <m:t>T</m:t>
                </m:r>
                <m:r>
                  <m:rPr/>
                  <w:rPr>
                    <w:rFonts w:ascii="Cambria Math" w:hAnsi="Cambria Math"/>
                    <w:vertAlign w:val="subscript"/>
                  </w:rPr>
                  <m:t>c</m:t>
                </m:r>
                <m:ctrlPr>
                  <w:rPr>
                    <w:rFonts w:ascii="Cambria Math" w:hAnsi="Cambria Math"/>
                    <w:i/>
                  </w:rPr>
                </m:ctrlPr>
              </m:den>
            </m:f>
            <m:ctrlPr>
              <w:rPr>
                <w:rFonts w:ascii="Cambria Math" w:hAnsi="Cambria Math"/>
                <w:i/>
              </w:rPr>
            </m:ctrlPr>
          </m:e>
        </m:func>
      </m:oMath>
      <w:bookmarkStart w:id="100" w:name="OLE_LINK13"/>
      <w:r>
        <w:tab/>
      </w:r>
      <w:r>
        <w:tab/>
      </w:r>
      <w:r>
        <w:rPr>
          <w:rFonts w:hint="eastAsia" w:hAnsi="Cambria Math"/>
        </w:rPr>
        <w:t>（B.3）</w:t>
      </w:r>
      <w:bookmarkEnd w:id="100"/>
    </w:p>
    <w:p w14:paraId="4F6C8FD5">
      <w:pPr>
        <w:spacing w:line="288" w:lineRule="auto"/>
        <w:ind w:left="850" w:leftChars="200" w:hanging="430" w:hangingChars="205"/>
        <w:rPr>
          <w:rFonts w:hAnsi="Cambria Math"/>
        </w:rPr>
      </w:pPr>
      <w:r>
        <w:rPr>
          <w:rFonts w:hint="eastAsia" w:hAnsi="Cambria Math"/>
        </w:rPr>
        <w:t xml:space="preserve">注解 </w:t>
      </w:r>
      <w:r>
        <w:rPr>
          <w:rFonts w:hint="eastAsia" w:hAnsi="Cambria Math"/>
          <w:i/>
          <w:iCs/>
        </w:rPr>
        <w:t>T</w:t>
      </w:r>
      <w:r>
        <w:rPr>
          <w:rFonts w:hint="eastAsia" w:hAnsi="Cambria Math"/>
          <w:i/>
          <w:iCs/>
          <w:vertAlign w:val="subscript"/>
        </w:rPr>
        <w:t>c</w:t>
      </w:r>
      <w:r>
        <w:rPr>
          <w:rFonts w:hint="eastAsia" w:hAnsi="Cambria Math"/>
        </w:rPr>
        <w:t>——光的透射率(透明光束)</w:t>
      </w:r>
    </w:p>
    <w:p w14:paraId="2B845056">
      <w:pPr>
        <w:spacing w:line="288" w:lineRule="auto"/>
        <w:ind w:left="850" w:leftChars="200" w:hanging="430" w:hangingChars="205"/>
        <w:rPr>
          <w:rFonts w:hAnsi="Cambria Math"/>
        </w:rPr>
      </w:pPr>
      <w:r>
        <w:rPr>
          <w:rFonts w:hint="eastAsia" w:hAnsi="Cambria Math"/>
        </w:rPr>
        <w:t>B.4.5  烟雾密度修正值</w:t>
      </w:r>
    </w:p>
    <w:p w14:paraId="00562AEB">
      <w:pPr>
        <w:spacing w:line="288" w:lineRule="auto"/>
        <w:ind w:left="850" w:leftChars="200" w:hanging="430" w:hangingChars="205"/>
        <w:jc w:val="center"/>
        <w:rPr>
          <w:rFonts w:hAnsi="Cambria Math"/>
        </w:rPr>
      </w:pPr>
      <w:r>
        <w:rPr>
          <w:rFonts w:hint="eastAsia"/>
          <w:i/>
          <w:iCs/>
        </w:rPr>
        <w:t>D</w:t>
      </w:r>
      <w:r>
        <w:rPr>
          <w:rFonts w:hint="eastAsia"/>
          <w:i/>
          <w:iCs/>
          <w:vertAlign w:val="subscript"/>
        </w:rPr>
        <w:t>S</w:t>
      </w:r>
      <w:r>
        <w:rPr>
          <w:rFonts w:hint="eastAsia"/>
          <w:i/>
          <w:iCs/>
        </w:rPr>
        <w:t>=D</w:t>
      </w:r>
      <w:r>
        <w:rPr>
          <w:rFonts w:hint="eastAsia"/>
          <w:i/>
          <w:iCs/>
          <w:vertAlign w:val="subscript"/>
        </w:rPr>
        <w:t xml:space="preserve">m </w:t>
      </w:r>
      <w:r>
        <w:rPr>
          <w:rFonts w:hint="eastAsia"/>
          <w:i/>
          <w:iCs/>
        </w:rPr>
        <w:t>-D</w:t>
      </w:r>
      <w:r>
        <w:rPr>
          <w:rFonts w:hint="eastAsia"/>
          <w:i/>
          <w:iCs/>
          <w:vertAlign w:val="subscript"/>
        </w:rPr>
        <w:t>C</w:t>
      </w:r>
      <w:r>
        <w:rPr>
          <w:i/>
          <w:iCs/>
          <w:vertAlign w:val="subscript"/>
        </w:rPr>
        <w:tab/>
      </w:r>
      <w:r>
        <w:rPr>
          <w:i/>
          <w:iCs/>
          <w:vertAlign w:val="subscript"/>
        </w:rPr>
        <w:tab/>
      </w:r>
      <w:r>
        <w:rPr>
          <w:rFonts w:hint="eastAsia" w:hAnsi="Cambria Math"/>
        </w:rPr>
        <w:t>（B.4）</w:t>
      </w:r>
    </w:p>
    <w:p w14:paraId="1C6CB22A">
      <w:pPr>
        <w:spacing w:before="156" w:beforeLines="50" w:after="156" w:afterLines="50" w:line="276" w:lineRule="auto"/>
        <w:ind w:firstLine="0" w:firstLineChars="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B.5艾烟密度限值</w:t>
      </w:r>
    </w:p>
    <w:p w14:paraId="4ADE35DA">
      <w:pPr>
        <w:spacing w:before="156" w:beforeLines="50" w:after="156" w:afterLines="50" w:line="276" w:lineRule="auto"/>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B.5.1　总则</w:t>
      </w:r>
    </w:p>
    <w:p w14:paraId="3A61790E">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关于本附录中的极限值，请参阅</w:t>
      </w:r>
      <w:r>
        <w:rPr>
          <w:color w:val="000000" w:themeColor="text1"/>
          <w14:textFill>
            <w14:solidFill>
              <w14:schemeClr w14:val="tx1"/>
            </w14:solidFill>
          </w14:textFill>
        </w:rPr>
        <w:t>GB/T 8323.2-2008</w:t>
      </w:r>
      <w:r>
        <w:rPr>
          <w:rFonts w:hint="eastAsia"/>
          <w:color w:val="000000" w:themeColor="text1"/>
          <w14:textFill>
            <w14:solidFill>
              <w14:schemeClr w14:val="tx1"/>
            </w14:solidFill>
          </w14:textFill>
        </w:rPr>
        <w:t>附录B。</w:t>
      </w:r>
    </w:p>
    <w:p w14:paraId="232B1B7E">
      <w:pPr>
        <w:spacing w:before="156" w:beforeLines="50" w:after="156" w:afterLines="50" w:line="276" w:lineRule="auto"/>
        <w:ind w:firstLine="0" w:firstLineChars="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B.5.2　极限值</w:t>
      </w:r>
    </w:p>
    <w:p w14:paraId="6571BCDF">
      <w:pPr>
        <w:spacing w:line="288" w:lineRule="auto"/>
        <w:ind w:left="850" w:leftChars="200" w:hanging="430" w:hangingChars="205"/>
        <w:rPr>
          <w:color w:val="000000" w:themeColor="text1"/>
          <w14:textFill>
            <w14:solidFill>
              <w14:schemeClr w14:val="tx1"/>
            </w14:solidFill>
          </w14:textFill>
        </w:rPr>
      </w:pPr>
      <w:r>
        <w:rPr>
          <w:rFonts w:hint="eastAsia"/>
          <w:color w:val="000000" w:themeColor="text1"/>
          <w14:textFill>
            <w14:solidFill>
              <w14:schemeClr w14:val="tx1"/>
            </w14:solidFill>
          </w14:textFill>
        </w:rPr>
        <w:t>作为测试的结果，无烟艾灸仪不得产生光学 密度超过150±10的烟雾。</w:t>
      </w:r>
    </w:p>
    <w:p w14:paraId="569C815A">
      <w:pPr>
        <w:spacing w:line="288" w:lineRule="auto"/>
        <w:ind w:left="850" w:leftChars="200" w:hanging="430" w:hangingChars="205"/>
        <w:rPr>
          <w:color w:val="000000" w:themeColor="text1"/>
          <w14:textFill>
            <w14:solidFill>
              <w14:schemeClr w14:val="tx1"/>
            </w14:solidFill>
          </w14:textFill>
        </w:rPr>
      </w:pPr>
      <w:r>
        <w:rPr>
          <w:color w:val="000000" w:themeColor="text1"/>
          <w14:textFill>
            <w14:solidFill>
              <w14:schemeClr w14:val="tx1"/>
            </w14:solidFill>
          </w14:textFill>
        </w:rPr>
        <w:br w:type="page"/>
      </w:r>
    </w:p>
    <w:bookmarkEnd w:id="95"/>
    <w:bookmarkEnd w:id="96"/>
    <w:bookmarkEnd w:id="97"/>
    <w:bookmarkEnd w:id="98"/>
    <w:p w14:paraId="650F6AF2">
      <w:pPr>
        <w:keepNext/>
        <w:pageBreakBefore/>
        <w:shd w:val="clear" w:color="FFFFFF" w:fill="FFFFFF"/>
        <w:spacing w:before="640" w:after="200"/>
        <w:jc w:val="center"/>
        <w:outlineLvl w:val="0"/>
        <w:rPr>
          <w:rFonts w:ascii="黑体" w:eastAsia="黑体"/>
          <w:color w:val="000000" w:themeColor="text1"/>
          <w14:textFill>
            <w14:solidFill>
              <w14:schemeClr w14:val="tx1"/>
            </w14:solidFill>
          </w14:textFill>
        </w:rPr>
      </w:pPr>
      <w:bookmarkStart w:id="117" w:name="_GoBack"/>
      <w:bookmarkEnd w:id="117"/>
      <w:bookmarkStart w:id="101" w:name="_Toc61106063"/>
      <w:bookmarkStart w:id="102" w:name="_Toc61098540"/>
      <w:bookmarkStart w:id="103" w:name="_Toc61105723"/>
      <w:bookmarkStart w:id="104" w:name="_Toc350327856"/>
      <w:bookmarkStart w:id="105" w:name="_Toc163827834"/>
      <w:bookmarkStart w:id="106" w:name="_Toc43424908"/>
      <w:bookmarkStart w:id="107" w:name="_Toc166988952"/>
      <w:bookmarkStart w:id="108" w:name="_Toc43424469"/>
      <w:bookmarkStart w:id="109" w:name="_Toc43424754"/>
      <w:bookmarkStart w:id="110" w:name="_Toc509328274"/>
      <w:bookmarkStart w:id="111" w:name="_Toc43424593"/>
      <w:r>
        <w:rPr>
          <w:rFonts w:hint="eastAsia" w:ascii="黑体" w:eastAsia="黑体"/>
          <w:color w:val="000000" w:themeColor="text1"/>
          <w14:textFill>
            <w14:solidFill>
              <w14:schemeClr w14:val="tx1"/>
            </w14:solidFill>
          </w14:textFill>
        </w:rPr>
        <w:t>参 考 文 献</w:t>
      </w:r>
      <w:bookmarkEnd w:id="101"/>
      <w:bookmarkEnd w:id="102"/>
      <w:bookmarkEnd w:id="103"/>
      <w:bookmarkEnd w:id="104"/>
      <w:bookmarkEnd w:id="105"/>
      <w:bookmarkEnd w:id="106"/>
      <w:bookmarkEnd w:id="107"/>
      <w:bookmarkEnd w:id="108"/>
      <w:bookmarkEnd w:id="109"/>
      <w:bookmarkEnd w:id="110"/>
      <w:bookmarkEnd w:id="111"/>
      <w:bookmarkStart w:id="112" w:name="_Hlk43426144"/>
    </w:p>
    <w:p w14:paraId="73DE7503">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bookmarkStart w:id="113" w:name="OLE_LINK4"/>
      <w:bookmarkStart w:id="114" w:name="OLE_LINK3"/>
      <w:r>
        <w:rPr>
          <w:rFonts w:hAnsi="宋体"/>
          <w:color w:val="000000" w:themeColor="text1"/>
          <w:szCs w:val="22"/>
          <w14:textFill>
            <w14:solidFill>
              <w14:schemeClr w14:val="tx1"/>
            </w14:solidFill>
          </w14:textFill>
        </w:rPr>
        <w:t>ISO 2244</w:t>
      </w:r>
      <w:bookmarkEnd w:id="113"/>
      <w:bookmarkEnd w:id="114"/>
      <w:r>
        <w:rPr>
          <w:rFonts w:hAnsi="宋体"/>
          <w:color w:val="000000" w:themeColor="text1"/>
          <w:szCs w:val="22"/>
          <w14:textFill>
            <w14:solidFill>
              <w14:schemeClr w14:val="tx1"/>
            </w14:solidFill>
          </w14:textFill>
        </w:rPr>
        <w:t xml:space="preserve">, </w:t>
      </w:r>
      <w:r>
        <w:rPr>
          <w:rFonts w:hint="eastAsia" w:hAnsi="宋体"/>
          <w:color w:val="000000" w:themeColor="text1"/>
          <w:szCs w:val="22"/>
          <w14:textFill>
            <w14:solidFill>
              <w14:schemeClr w14:val="tx1"/>
            </w14:solidFill>
          </w14:textFill>
        </w:rPr>
        <w:t>包装 完整填充的运输包装和单位载荷 水平冲击试验（</w:t>
      </w:r>
      <w:r>
        <w:rPr>
          <w:rFonts w:hAnsi="宋体"/>
          <w:color w:val="000000" w:themeColor="text1"/>
          <w:szCs w:val="22"/>
          <w14:textFill>
            <w14:solidFill>
              <w14:schemeClr w14:val="tx1"/>
            </w14:solidFill>
          </w14:textFill>
        </w:rPr>
        <w:t>Packaging — Complete, filled transport packages and unit loads — Horizontal impact tests</w:t>
      </w:r>
      <w:r>
        <w:rPr>
          <w:rFonts w:hint="eastAsia" w:hAnsi="宋体"/>
          <w:color w:val="000000" w:themeColor="text1"/>
          <w:szCs w:val="22"/>
          <w14:textFill>
            <w14:solidFill>
              <w14:schemeClr w14:val="tx1"/>
            </w14:solidFill>
          </w14:textFill>
        </w:rPr>
        <w:t>）</w:t>
      </w:r>
    </w:p>
    <w:p w14:paraId="358F7DA5">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bookmarkStart w:id="115" w:name="OLE_LINK6"/>
      <w:bookmarkStart w:id="116" w:name="OLE_LINK5"/>
      <w:r>
        <w:rPr>
          <w:rFonts w:hAnsi="宋体"/>
          <w:color w:val="000000" w:themeColor="text1"/>
          <w:szCs w:val="22"/>
          <w14:textFill>
            <w14:solidFill>
              <w14:schemeClr w14:val="tx1"/>
            </w14:solidFill>
          </w14:textFill>
        </w:rPr>
        <w:t>ISO 7240-1</w:t>
      </w:r>
      <w:bookmarkEnd w:id="115"/>
      <w:bookmarkEnd w:id="116"/>
      <w:r>
        <w:rPr>
          <w:rFonts w:hAnsi="宋体"/>
          <w:color w:val="000000" w:themeColor="text1"/>
          <w:szCs w:val="22"/>
          <w14:textFill>
            <w14:solidFill>
              <w14:schemeClr w14:val="tx1"/>
            </w14:solidFill>
          </w14:textFill>
        </w:rPr>
        <w:t xml:space="preserve">:2014 </w:t>
      </w:r>
      <w:r>
        <w:rPr>
          <w:rFonts w:hint="eastAsia" w:hAnsi="宋体"/>
          <w:color w:val="000000" w:themeColor="text1"/>
          <w:szCs w:val="22"/>
          <w14:textFill>
            <w14:solidFill>
              <w14:schemeClr w14:val="tx1"/>
            </w14:solidFill>
          </w14:textFill>
        </w:rPr>
        <w:t>火灾探测和报警系统-第</w:t>
      </w:r>
      <w:r>
        <w:rPr>
          <w:rFonts w:hAnsi="宋体"/>
          <w:color w:val="000000" w:themeColor="text1"/>
          <w:szCs w:val="22"/>
          <w14:textFill>
            <w14:solidFill>
              <w14:schemeClr w14:val="tx1"/>
            </w14:solidFill>
          </w14:textFill>
        </w:rPr>
        <w:t>1</w:t>
      </w:r>
      <w:r>
        <w:rPr>
          <w:rFonts w:hint="eastAsia" w:hAnsi="宋体"/>
          <w:color w:val="000000" w:themeColor="text1"/>
          <w:szCs w:val="22"/>
          <w14:textFill>
            <w14:solidFill>
              <w14:schemeClr w14:val="tx1"/>
            </w14:solidFill>
          </w14:textFill>
        </w:rPr>
        <w:t>部分:总则和定义（</w:t>
      </w:r>
      <w:r>
        <w:rPr>
          <w:rFonts w:hAnsi="宋体"/>
          <w:color w:val="000000" w:themeColor="text1"/>
          <w:szCs w:val="22"/>
          <w14:textFill>
            <w14:solidFill>
              <w14:schemeClr w14:val="tx1"/>
            </w14:solidFill>
          </w14:textFill>
        </w:rPr>
        <w:t>Fire detection and alarm systems — Part 1: General and definitions</w:t>
      </w:r>
      <w:r>
        <w:rPr>
          <w:rFonts w:hint="eastAsia" w:hAnsi="宋体"/>
          <w:color w:val="000000" w:themeColor="text1"/>
          <w:szCs w:val="22"/>
          <w14:textFill>
            <w14:solidFill>
              <w14:schemeClr w14:val="tx1"/>
            </w14:solidFill>
          </w14:textFill>
        </w:rPr>
        <w:t>）</w:t>
      </w:r>
    </w:p>
    <w:p w14:paraId="1A93E660">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r>
        <w:rPr>
          <w:rFonts w:hint="eastAsia" w:hAnsi="宋体"/>
          <w:color w:val="000000" w:themeColor="text1"/>
          <w:szCs w:val="22"/>
          <w14:textFill>
            <w14:solidFill>
              <w14:schemeClr w14:val="tx1"/>
            </w14:solidFill>
          </w14:textFill>
        </w:rPr>
        <w:t>ISO/TR 7240-9:2022 火灾探测和报警系统-第9部分:火灾探测器的火灾测试（</w:t>
      </w:r>
      <w:r>
        <w:rPr>
          <w:rFonts w:hAnsi="宋体"/>
          <w:color w:val="000000" w:themeColor="text1"/>
          <w:szCs w:val="22"/>
          <w14:textFill>
            <w14:solidFill>
              <w14:schemeClr w14:val="tx1"/>
            </w14:solidFill>
          </w14:textFill>
        </w:rPr>
        <w:t>Fire detection and alarm systems Part 9: Test fires for fire detectors</w:t>
      </w:r>
      <w:r>
        <w:rPr>
          <w:rFonts w:hint="eastAsia" w:hAnsi="宋体"/>
          <w:color w:val="000000" w:themeColor="text1"/>
          <w:szCs w:val="22"/>
          <w14:textFill>
            <w14:solidFill>
              <w14:schemeClr w14:val="tx1"/>
            </w14:solidFill>
          </w14:textFill>
        </w:rPr>
        <w:t>）</w:t>
      </w:r>
    </w:p>
    <w:p w14:paraId="10AC44A8">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r>
        <w:rPr>
          <w:rFonts w:hAnsi="宋体"/>
          <w:color w:val="000000" w:themeColor="text1"/>
          <w:szCs w:val="22"/>
          <w14:textFill>
            <w14:solidFill>
              <w14:schemeClr w14:val="tx1"/>
            </w14:solidFill>
          </w14:textFill>
        </w:rPr>
        <w:t xml:space="preserve">ISO 7965-1 </w:t>
      </w:r>
      <w:r>
        <w:rPr>
          <w:rFonts w:hint="eastAsia" w:hAnsi="宋体"/>
          <w:color w:val="000000" w:themeColor="text1"/>
          <w:szCs w:val="22"/>
          <w14:textFill>
            <w14:solidFill>
              <w14:schemeClr w14:val="tx1"/>
            </w14:solidFill>
          </w14:textFill>
        </w:rPr>
        <w:t>包装（</w:t>
      </w:r>
      <w:r>
        <w:rPr>
          <w:rFonts w:hAnsi="宋体"/>
          <w:color w:val="000000" w:themeColor="text1"/>
          <w:szCs w:val="22"/>
          <w14:textFill>
            <w14:solidFill>
              <w14:schemeClr w14:val="tx1"/>
            </w14:solidFill>
          </w14:textFill>
        </w:rPr>
        <w:t>Packaging — Sacks — Drop test — Part 1: Paper sacks</w:t>
      </w:r>
    </w:p>
    <w:p w14:paraId="4681220B">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r>
        <w:rPr>
          <w:rFonts w:hAnsi="宋体"/>
          <w:color w:val="000000" w:themeColor="text1"/>
          <w:szCs w:val="22"/>
          <w14:textFill>
            <w14:solidFill>
              <w14:schemeClr w14:val="tx1"/>
            </w14:solidFill>
          </w14:textFill>
        </w:rPr>
        <w:t xml:space="preserve">ISO 12133:2011 </w:t>
      </w:r>
      <w:r>
        <w:rPr>
          <w:rFonts w:hint="eastAsia" w:hAnsi="宋体"/>
          <w:color w:val="000000" w:themeColor="text1"/>
          <w:szCs w:val="22"/>
          <w14:textFill>
            <w14:solidFill>
              <w14:schemeClr w14:val="tx1"/>
            </w14:solidFill>
          </w14:textFill>
        </w:rPr>
        <w:t>小物件一氧化碳(CO)探测系统[</w:t>
      </w:r>
      <w:r>
        <w:rPr>
          <w:rFonts w:hAnsi="宋体"/>
          <w:color w:val="000000" w:themeColor="text1"/>
          <w:szCs w:val="22"/>
          <w14:textFill>
            <w14:solidFill>
              <w14:schemeClr w14:val="tx1"/>
            </w14:solidFill>
          </w14:textFill>
        </w:rPr>
        <w:t>Small craft — Carbon monoxide (CO) detection systems]</w:t>
      </w:r>
    </w:p>
    <w:p w14:paraId="47C0E279">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r>
        <w:rPr>
          <w:rFonts w:hAnsi="宋体"/>
          <w:color w:val="000000" w:themeColor="text1"/>
          <w:szCs w:val="22"/>
          <w14:textFill>
            <w14:solidFill>
              <w14:schemeClr w14:val="tx1"/>
            </w14:solidFill>
          </w14:textFill>
        </w:rPr>
        <w:t xml:space="preserve">ISO 12219-2:2012 </w:t>
      </w:r>
      <w:r>
        <w:rPr>
          <w:rFonts w:hint="eastAsia" w:hAnsi="宋体"/>
          <w:color w:val="000000" w:themeColor="text1"/>
          <w:szCs w:val="22"/>
          <w14:textFill>
            <w14:solidFill>
              <w14:schemeClr w14:val="tx1"/>
            </w14:solidFill>
          </w14:textFill>
        </w:rPr>
        <w:t>道路车辆的内部空气 第2部分:测定车辆内部部件和材料挥发性有机化合物排放物的筛查方法 袋法（</w:t>
      </w:r>
      <w:r>
        <w:rPr>
          <w:rFonts w:hAnsi="宋体"/>
          <w:color w:val="000000" w:themeColor="text1"/>
          <w:szCs w:val="22"/>
          <w14:textFill>
            <w14:solidFill>
              <w14:schemeClr w14:val="tx1"/>
            </w14:solidFill>
          </w14:textFill>
        </w:rPr>
        <w:t>Interior air of road vehicles — Part 2: Screening method for the determination of the emissions of volatile organic compounds from vehicle interior parts and materials — Bag method</w:t>
      </w:r>
      <w:r>
        <w:rPr>
          <w:rFonts w:hint="eastAsia" w:hAnsi="宋体"/>
          <w:color w:val="000000" w:themeColor="text1"/>
          <w:szCs w:val="22"/>
          <w14:textFill>
            <w14:solidFill>
              <w14:schemeClr w14:val="tx1"/>
            </w14:solidFill>
          </w14:textFill>
        </w:rPr>
        <w:t>）</w:t>
      </w:r>
    </w:p>
    <w:p w14:paraId="164102E1">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r>
        <w:rPr>
          <w:rFonts w:hAnsi="宋体"/>
          <w:color w:val="000000" w:themeColor="text1"/>
          <w:szCs w:val="22"/>
          <w14:textFill>
            <w14:solidFill>
              <w14:schemeClr w14:val="tx1"/>
            </w14:solidFill>
          </w14:textFill>
        </w:rPr>
        <w:t xml:space="preserve">GB/T 4857.11-2005 </w:t>
      </w:r>
      <w:r>
        <w:rPr>
          <w:rFonts w:hint="eastAsia" w:hAnsi="宋体"/>
          <w:color w:val="000000" w:themeColor="text1"/>
          <w:szCs w:val="22"/>
          <w14:textFill>
            <w14:solidFill>
              <w14:schemeClr w14:val="tx1"/>
            </w14:solidFill>
          </w14:textFill>
        </w:rPr>
        <w:t>包装 运输包装件基本试验 第11部分:水平冲击试验方法</w:t>
      </w:r>
    </w:p>
    <w:p w14:paraId="35E7293B">
      <w:pPr>
        <w:numPr>
          <w:ilvl w:val="0"/>
          <w:numId w:val="2"/>
        </w:numPr>
        <w:tabs>
          <w:tab w:val="center" w:pos="426"/>
          <w:tab w:val="clear" w:pos="4201"/>
          <w:tab w:val="clear" w:pos="9298"/>
        </w:tabs>
        <w:spacing w:line="288" w:lineRule="auto"/>
        <w:ind w:left="0" w:firstLine="420"/>
        <w:rPr>
          <w:rFonts w:hAnsi="宋体"/>
          <w:color w:val="000000" w:themeColor="text1"/>
          <w:szCs w:val="22"/>
          <w14:textFill>
            <w14:solidFill>
              <w14:schemeClr w14:val="tx1"/>
            </w14:solidFill>
          </w14:textFill>
        </w:rPr>
      </w:pPr>
      <w:r>
        <w:rPr>
          <w:rFonts w:hAnsi="宋体"/>
          <w:color w:val="000000" w:themeColor="text1"/>
          <w:szCs w:val="22"/>
          <w14:textFill>
            <w14:solidFill>
              <w14:schemeClr w14:val="tx1"/>
            </w14:solidFill>
          </w14:textFill>
        </w:rPr>
        <w:t xml:space="preserve">GB/T 25162.1-2010 </w:t>
      </w:r>
      <w:r>
        <w:rPr>
          <w:rFonts w:hint="eastAsia" w:hAnsi="宋体"/>
          <w:color w:val="000000" w:themeColor="text1"/>
          <w:szCs w:val="22"/>
          <w14:textFill>
            <w14:solidFill>
              <w14:schemeClr w14:val="tx1"/>
            </w14:solidFill>
          </w14:textFill>
        </w:rPr>
        <w:t>包装袋 跌落试验 第1部分：纸袋</w:t>
      </w:r>
    </w:p>
    <w:bookmarkEnd w:id="112"/>
    <w:p w14:paraId="0DFEEC37"/>
    <w:p w14:paraId="4DC3D1C3">
      <w:pPr>
        <w:ind w:firstLine="0" w:firstLineChars="0"/>
        <w:jc w:val="center"/>
      </w:pPr>
      <w:r>
        <w:rPr>
          <w:rFonts w:hint="eastAsia"/>
        </w:rPr>
        <w:t>_</w:t>
      </w:r>
      <w:r>
        <w:t>___________________________</w:t>
      </w:r>
    </w:p>
    <w:sectPr>
      <w:type w:val="continuous"/>
      <w:pgSz w:w="11906" w:h="16838"/>
      <w:pgMar w:top="1418" w:right="1418" w:bottom="1418" w:left="1418" w:header="909" w:footer="639" w:gutter="0"/>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Vrinda">
    <w:panose1 w:val="020B0502040204020203"/>
    <w:charset w:val="00"/>
    <w:family w:val="swiss"/>
    <w:pitch w:val="default"/>
    <w:sig w:usb0="0001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E3981">
    <w:pPr>
      <w:pStyle w:val="42"/>
      <w:jc w:val="center"/>
      <w:rPr>
        <w:rStyle w:val="2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1839A">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849EA">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6960224"/>
    </w:sdtPr>
    <w:sdtContent>
      <w:p w14:paraId="701127E6">
        <w:pPr>
          <w:pStyle w:val="11"/>
          <w:ind w:firstLine="360"/>
        </w:pPr>
        <w:r>
          <w:fldChar w:fldCharType="begin"/>
        </w:r>
        <w:r>
          <w:instrText xml:space="preserve">PAGE   \* MERGEFORMAT</w:instrText>
        </w:r>
        <w:r>
          <w:fldChar w:fldCharType="separate"/>
        </w:r>
        <w:r>
          <w:rPr>
            <w:lang w:val="zh-CN"/>
          </w:rPr>
          <w:t>III</w:t>
        </w:r>
        <w:r>
          <w:fldChar w:fldCharType="end"/>
        </w:r>
      </w:p>
    </w:sdtContent>
  </w:sdt>
  <w:p w14:paraId="27141CC1">
    <w:pPr>
      <w:pStyle w:val="11"/>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1FCDE">
    <w:pPr>
      <w:pStyle w:val="11"/>
      <w:ind w:firstLine="360"/>
      <w:jc w:val="left"/>
      <w:rPr>
        <w:rStyle w:val="25"/>
      </w:rPr>
    </w:pPr>
    <w:r>
      <w:rPr>
        <w:rStyle w:val="25"/>
      </w:rPr>
      <w:fldChar w:fldCharType="begin"/>
    </w:r>
    <w:r>
      <w:rPr>
        <w:rStyle w:val="25"/>
      </w:rPr>
      <w:instrText xml:space="preserve">PAGE  </w:instrText>
    </w:r>
    <w:r>
      <w:rPr>
        <w:rStyle w:val="25"/>
      </w:rPr>
      <w:fldChar w:fldCharType="separate"/>
    </w:r>
    <w:r>
      <w:rPr>
        <w:rStyle w:val="25"/>
      </w:rPr>
      <w:t>IV</w:t>
    </w:r>
    <w:r>
      <w:rPr>
        <w:rStyle w:val="25"/>
      </w:rPr>
      <w:fldChar w:fldCharType="end"/>
    </w:r>
  </w:p>
  <w:p w14:paraId="5094BF65">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836205"/>
    </w:sdtPr>
    <w:sdtContent>
      <w:p w14:paraId="1D076FEF">
        <w:pPr>
          <w:pStyle w:val="11"/>
          <w:ind w:firstLine="360"/>
        </w:pPr>
        <w:r>
          <w:fldChar w:fldCharType="begin"/>
        </w:r>
        <w:r>
          <w:instrText xml:space="preserve">PAGE   \* MERGEFORMAT</w:instrText>
        </w:r>
        <w:r>
          <w:fldChar w:fldCharType="separate"/>
        </w:r>
        <w:r>
          <w:rPr>
            <w:lang w:val="zh-CN"/>
          </w:rPr>
          <w:t>3</w:t>
        </w:r>
        <w:r>
          <w:fldChar w:fldCharType="end"/>
        </w:r>
      </w:p>
    </w:sdtContent>
  </w:sdt>
  <w:p w14:paraId="1A543553">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ind w:firstLine="420"/>
      </w:pPr>
      <w:r>
        <w:separator/>
      </w:r>
    </w:p>
  </w:footnote>
  <w:footnote w:type="continuationSeparator" w:id="3">
    <w:p>
      <w:pPr>
        <w:ind w:firstLine="420"/>
      </w:pPr>
      <w:r>
        <w:continuationSeparator/>
      </w:r>
    </w:p>
  </w:footnote>
  <w:footnote w:id="0">
    <w:p w14:paraId="19A2B11F">
      <w:pPr>
        <w:pStyle w:val="15"/>
        <w:ind w:firstLine="360"/>
      </w:pPr>
      <w:r>
        <w:rPr>
          <w:rStyle w:val="29"/>
        </w:rPr>
        <w:footnoteRef/>
      </w:r>
      <w:r>
        <w:t xml:space="preserve"> </w:t>
      </w:r>
      <w:r>
        <w:rPr>
          <w:rFonts w:hint="eastAsia"/>
        </w:rPr>
        <w:t>Tenax TA®是Buchem提供的一种产品的商品名称。这些信息是为了方便本文件的用户而提供的，并不构成ISO对所命名产品的认可。如果可以证明它们会导致相同的结果，则可以使用相同的产品。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738E2">
    <w:pPr>
      <w:pStyle w:val="12"/>
      <w:ind w:firstLine="361"/>
      <w:jc w:val="right"/>
    </w:pPr>
    <w:r>
      <w:rPr>
        <w:rFonts w:ascii="Times New Roman"/>
        <w:b/>
        <w:bCs/>
      </w:rPr>
      <w:t>GB/T</w:t>
    </w:r>
    <w:r>
      <w:rPr>
        <w:rFonts w:hint="eastAsia"/>
      </w:rPr>
      <w:t xml:space="preserve"> </w:t>
    </w:r>
    <w:r>
      <w:rPr>
        <w:rFonts w:ascii="黑体" w:hAnsi="黑体" w:eastAsia="黑体" w:cs="Arial"/>
      </w:rPr>
      <w:t>XXXX—20XX</w:t>
    </w:r>
    <w:r>
      <w:rPr>
        <w:rFonts w:hint="eastAsia"/>
      </w:rPr>
      <w:t>/</w:t>
    </w:r>
    <w:r>
      <w:rPr>
        <w:rFonts w:hint="eastAsia" w:ascii="Times New Roman"/>
        <w:b/>
        <w:bCs/>
      </w:rPr>
      <w:t>ISO</w:t>
    </w:r>
    <w:r>
      <w:rPr>
        <w:rFonts w:hint="eastAsia"/>
      </w:rPr>
      <w:t xml:space="preserve"> </w:t>
    </w:r>
    <w:r>
      <w:rPr>
        <w:rFonts w:hint="eastAsia" w:ascii="黑体" w:hAnsi="黑体" w:eastAsia="黑体" w:cs="Arial"/>
      </w:rPr>
      <w:t>21998:2020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3EFE9">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D1E8E">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E65CB">
    <w:pPr>
      <w:pStyle w:val="44"/>
      <w:framePr w:w="0" w:hRule="auto" w:hSpace="0" w:wrap="auto" w:vAnchor="margin" w:hAnchor="text" w:xAlign="left" w:yAlign="inline"/>
      <w:spacing w:before="0"/>
      <w:ind w:left="420" w:hanging="420"/>
      <w:jc w:val="left"/>
      <w:rPr>
        <w:sz w:val="18"/>
        <w:szCs w:val="18"/>
      </w:rPr>
    </w:pPr>
    <w:r>
      <w:rPr>
        <w:rFonts w:ascii="Times New Roman"/>
        <w:b/>
        <w:bCs/>
        <w:sz w:val="18"/>
        <w:szCs w:val="18"/>
      </w:rPr>
      <w:t xml:space="preserve">GB/T </w:t>
    </w:r>
    <w:r>
      <w:rPr>
        <w:rFonts w:hint="eastAsia"/>
        <w:sz w:val="18"/>
        <w:szCs w:val="18"/>
      </w:rPr>
      <w:t>XXXX—20XX</w:t>
    </w:r>
    <w:r>
      <w:rPr>
        <w:sz w:val="18"/>
        <w:szCs w:val="18"/>
      </w:rPr>
      <w:t>/</w:t>
    </w:r>
    <w:r>
      <w:rPr>
        <w:rFonts w:ascii="Times New Roman"/>
        <w:b/>
        <w:bCs/>
        <w:sz w:val="18"/>
        <w:szCs w:val="18"/>
      </w:rPr>
      <w:t>ISO</w:t>
    </w:r>
    <w:r>
      <w:rPr>
        <w:sz w:val="18"/>
        <w:szCs w:val="18"/>
      </w:rPr>
      <w:t xml:space="preserve"> 21998</w:t>
    </w:r>
    <w:r>
      <w:rPr>
        <w:rFonts w:hint="eastAsia"/>
        <w:sz w:val="18"/>
        <w:szCs w:val="18"/>
      </w:rPr>
      <w:t>:</w:t>
    </w:r>
    <w:r>
      <w:rPr>
        <w:sz w:val="18"/>
        <w:szCs w:val="18"/>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E4AEA"/>
    <w:multiLevelType w:val="multilevel"/>
    <w:tmpl w:val="229E4AEA"/>
    <w:lvl w:ilvl="0" w:tentative="0">
      <w:start w:val="1"/>
      <w:numFmt w:val="decimal"/>
      <w:suff w:val="space"/>
      <w:lvlText w:val="[%1] "/>
      <w:lvlJc w:val="left"/>
      <w:pPr>
        <w:ind w:left="100" w:hanging="100"/>
      </w:pPr>
      <w:rPr>
        <w:rFonts w:hint="eastAsia" w:cs="Times New Roma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3D6929B5"/>
    <w:multiLevelType w:val="multilevel"/>
    <w:tmpl w:val="3D6929B5"/>
    <w:lvl w:ilvl="0" w:tentative="0">
      <w:start w:val="1"/>
      <w:numFmt w:val="decimal"/>
      <w:pStyle w:val="55"/>
      <w:lvlText w:val="%1"/>
      <w:lvlJc w:val="left"/>
      <w:pPr>
        <w:ind w:left="425" w:hanging="425"/>
      </w:pPr>
      <w:rPr>
        <w:rFonts w:hint="default"/>
      </w:rPr>
    </w:lvl>
    <w:lvl w:ilvl="1" w:tentative="0">
      <w:start w:val="1"/>
      <w:numFmt w:val="decimal"/>
      <w:pStyle w:val="56"/>
      <w:lvlText w:val="%1.%2"/>
      <w:lvlJc w:val="left"/>
      <w:pPr>
        <w:ind w:left="992" w:hanging="567"/>
      </w:pPr>
      <w:rPr>
        <w:b w:val="0"/>
        <w:bCs w:val="0"/>
        <w:i w:val="0"/>
        <w:iCs w:val="0"/>
        <w:caps w:val="0"/>
        <w:smallCaps w:val="0"/>
        <w:strike w:val="0"/>
        <w:dstrike w:val="0"/>
        <w:vanish w:val="0"/>
        <w:color w:val="000000"/>
        <w:spacing w:val="0"/>
        <w:position w:val="0"/>
        <w:u w:val="none"/>
        <w:vertAlign w:val="baseline"/>
      </w:rPr>
    </w:lvl>
    <w:lvl w:ilvl="2" w:tentative="0">
      <w:start w:val="1"/>
      <w:numFmt w:val="decimal"/>
      <w:pStyle w:val="58"/>
      <w:lvlText w:val="%1.%2.%3"/>
      <w:lvlJc w:val="left"/>
      <w:pPr>
        <w:ind w:left="2048" w:hanging="567"/>
      </w:pPr>
    </w:lvl>
    <w:lvl w:ilvl="3" w:tentative="0">
      <w:start w:val="1"/>
      <w:numFmt w:val="decimal"/>
      <w:pStyle w:val="60"/>
      <w:lvlText w:val="%1.%2.%3.%4"/>
      <w:lvlJc w:val="left"/>
      <w:pPr>
        <w:ind w:left="1984" w:hanging="708"/>
      </w:pPr>
    </w:lvl>
    <w:lvl w:ilvl="4" w:tentative="0">
      <w:start w:val="1"/>
      <w:numFmt w:val="decimal"/>
      <w:pStyle w:val="62"/>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evenAndOddHeaders w:val="1"/>
  <w:drawingGridHorizontalSpacing w:val="105"/>
  <w:drawingGridVerticalSpacing w:val="156"/>
  <w:noPunctuationKerning w:val="1"/>
  <w:characterSpacingControl w:val="doNotCompress"/>
  <w:footnotePr>
    <w:footnote w:id="2"/>
    <w:footnote w:id="3"/>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 w:name="KSO_WPS_MARK_KEY" w:val="7b64d130-5482-4e6b-b003-8870bb9e3bac"/>
  </w:docVars>
  <w:rsids>
    <w:rsidRoot w:val="00F460C9"/>
    <w:rsid w:val="000016F1"/>
    <w:rsid w:val="00004ED2"/>
    <w:rsid w:val="00010752"/>
    <w:rsid w:val="00010CE1"/>
    <w:rsid w:val="000172B9"/>
    <w:rsid w:val="000177A8"/>
    <w:rsid w:val="00021A35"/>
    <w:rsid w:val="000230AE"/>
    <w:rsid w:val="000365B7"/>
    <w:rsid w:val="00040D86"/>
    <w:rsid w:val="00043D60"/>
    <w:rsid w:val="00044C80"/>
    <w:rsid w:val="00045EAE"/>
    <w:rsid w:val="00047784"/>
    <w:rsid w:val="00053DCA"/>
    <w:rsid w:val="00055990"/>
    <w:rsid w:val="00056B69"/>
    <w:rsid w:val="000579D0"/>
    <w:rsid w:val="00057EAE"/>
    <w:rsid w:val="000609D9"/>
    <w:rsid w:val="000623F8"/>
    <w:rsid w:val="00062DA6"/>
    <w:rsid w:val="00064E7F"/>
    <w:rsid w:val="00064F36"/>
    <w:rsid w:val="000655E6"/>
    <w:rsid w:val="000673F7"/>
    <w:rsid w:val="0007014C"/>
    <w:rsid w:val="00070301"/>
    <w:rsid w:val="000746B0"/>
    <w:rsid w:val="00075A92"/>
    <w:rsid w:val="000779EA"/>
    <w:rsid w:val="00077DC0"/>
    <w:rsid w:val="00077EEC"/>
    <w:rsid w:val="00083B1B"/>
    <w:rsid w:val="00084385"/>
    <w:rsid w:val="00086016"/>
    <w:rsid w:val="000926B6"/>
    <w:rsid w:val="000940D8"/>
    <w:rsid w:val="00095F8E"/>
    <w:rsid w:val="000968A4"/>
    <w:rsid w:val="000A0272"/>
    <w:rsid w:val="000A30A6"/>
    <w:rsid w:val="000A5922"/>
    <w:rsid w:val="000B03A4"/>
    <w:rsid w:val="000B0ABA"/>
    <w:rsid w:val="000B123E"/>
    <w:rsid w:val="000B6A10"/>
    <w:rsid w:val="000C1703"/>
    <w:rsid w:val="000C54C3"/>
    <w:rsid w:val="000C6A1E"/>
    <w:rsid w:val="000D05FB"/>
    <w:rsid w:val="000D423F"/>
    <w:rsid w:val="000D45BB"/>
    <w:rsid w:val="000D59CA"/>
    <w:rsid w:val="000D7220"/>
    <w:rsid w:val="000E57F7"/>
    <w:rsid w:val="000F13AE"/>
    <w:rsid w:val="000F58E9"/>
    <w:rsid w:val="000F6474"/>
    <w:rsid w:val="001065C9"/>
    <w:rsid w:val="00110D5D"/>
    <w:rsid w:val="00114F85"/>
    <w:rsid w:val="00116761"/>
    <w:rsid w:val="00123ABD"/>
    <w:rsid w:val="00131349"/>
    <w:rsid w:val="001350CC"/>
    <w:rsid w:val="00135227"/>
    <w:rsid w:val="00136185"/>
    <w:rsid w:val="00136BE3"/>
    <w:rsid w:val="001419FE"/>
    <w:rsid w:val="00142229"/>
    <w:rsid w:val="001441BF"/>
    <w:rsid w:val="0016029B"/>
    <w:rsid w:val="001642C1"/>
    <w:rsid w:val="001760F2"/>
    <w:rsid w:val="00176272"/>
    <w:rsid w:val="00177DE8"/>
    <w:rsid w:val="00177FE6"/>
    <w:rsid w:val="00180FA1"/>
    <w:rsid w:val="0018526C"/>
    <w:rsid w:val="001868C3"/>
    <w:rsid w:val="001910E0"/>
    <w:rsid w:val="00192B0C"/>
    <w:rsid w:val="00193725"/>
    <w:rsid w:val="001A1342"/>
    <w:rsid w:val="001A2ADA"/>
    <w:rsid w:val="001B54A0"/>
    <w:rsid w:val="001B60A3"/>
    <w:rsid w:val="001C4147"/>
    <w:rsid w:val="001C523E"/>
    <w:rsid w:val="001C6866"/>
    <w:rsid w:val="001D0ACA"/>
    <w:rsid w:val="001D62AB"/>
    <w:rsid w:val="001D75D4"/>
    <w:rsid w:val="001E0082"/>
    <w:rsid w:val="001F0720"/>
    <w:rsid w:val="00200003"/>
    <w:rsid w:val="00214DC0"/>
    <w:rsid w:val="00225D9D"/>
    <w:rsid w:val="00225E6B"/>
    <w:rsid w:val="002329F8"/>
    <w:rsid w:val="0023618F"/>
    <w:rsid w:val="0024333A"/>
    <w:rsid w:val="002443E4"/>
    <w:rsid w:val="00244D5D"/>
    <w:rsid w:val="00244DBB"/>
    <w:rsid w:val="00245BDB"/>
    <w:rsid w:val="00246435"/>
    <w:rsid w:val="00251A5C"/>
    <w:rsid w:val="002544A8"/>
    <w:rsid w:val="00255FF7"/>
    <w:rsid w:val="002614A5"/>
    <w:rsid w:val="00263FA0"/>
    <w:rsid w:val="00270C24"/>
    <w:rsid w:val="00283A59"/>
    <w:rsid w:val="00283B3A"/>
    <w:rsid w:val="0028654E"/>
    <w:rsid w:val="002867A2"/>
    <w:rsid w:val="00292C5F"/>
    <w:rsid w:val="00292DF7"/>
    <w:rsid w:val="00293F05"/>
    <w:rsid w:val="00295136"/>
    <w:rsid w:val="0029705D"/>
    <w:rsid w:val="002A0389"/>
    <w:rsid w:val="002B3DE3"/>
    <w:rsid w:val="002B4B08"/>
    <w:rsid w:val="002C0525"/>
    <w:rsid w:val="002C118E"/>
    <w:rsid w:val="002C41F6"/>
    <w:rsid w:val="002C66FF"/>
    <w:rsid w:val="002D55F7"/>
    <w:rsid w:val="002D76A2"/>
    <w:rsid w:val="002E065F"/>
    <w:rsid w:val="002E3304"/>
    <w:rsid w:val="002E7F03"/>
    <w:rsid w:val="002F0446"/>
    <w:rsid w:val="002F449B"/>
    <w:rsid w:val="002F6B1C"/>
    <w:rsid w:val="00302111"/>
    <w:rsid w:val="00304BA3"/>
    <w:rsid w:val="00313DB8"/>
    <w:rsid w:val="003150FE"/>
    <w:rsid w:val="003159DA"/>
    <w:rsid w:val="003163CF"/>
    <w:rsid w:val="003243C7"/>
    <w:rsid w:val="003260AB"/>
    <w:rsid w:val="003413D1"/>
    <w:rsid w:val="00344AB9"/>
    <w:rsid w:val="00344F11"/>
    <w:rsid w:val="003467F3"/>
    <w:rsid w:val="00350594"/>
    <w:rsid w:val="00352602"/>
    <w:rsid w:val="003539BE"/>
    <w:rsid w:val="00354785"/>
    <w:rsid w:val="0036260B"/>
    <w:rsid w:val="00363B5C"/>
    <w:rsid w:val="0036678C"/>
    <w:rsid w:val="003752E8"/>
    <w:rsid w:val="00375BDD"/>
    <w:rsid w:val="00380C81"/>
    <w:rsid w:val="00392D54"/>
    <w:rsid w:val="00393928"/>
    <w:rsid w:val="003A1E0C"/>
    <w:rsid w:val="003A5C28"/>
    <w:rsid w:val="003A6989"/>
    <w:rsid w:val="003B08B7"/>
    <w:rsid w:val="003B6508"/>
    <w:rsid w:val="003C3072"/>
    <w:rsid w:val="003C591A"/>
    <w:rsid w:val="003C63E9"/>
    <w:rsid w:val="003C6474"/>
    <w:rsid w:val="003C7667"/>
    <w:rsid w:val="003D0910"/>
    <w:rsid w:val="003D6ECC"/>
    <w:rsid w:val="003D7787"/>
    <w:rsid w:val="003E11D2"/>
    <w:rsid w:val="003E1308"/>
    <w:rsid w:val="003E218B"/>
    <w:rsid w:val="003E2D43"/>
    <w:rsid w:val="003E7CAF"/>
    <w:rsid w:val="003F2C3B"/>
    <w:rsid w:val="003F3150"/>
    <w:rsid w:val="003F355E"/>
    <w:rsid w:val="003F42F8"/>
    <w:rsid w:val="003F49C5"/>
    <w:rsid w:val="003F5B66"/>
    <w:rsid w:val="00400854"/>
    <w:rsid w:val="00402426"/>
    <w:rsid w:val="00404E5A"/>
    <w:rsid w:val="004055D3"/>
    <w:rsid w:val="004107CE"/>
    <w:rsid w:val="0041144C"/>
    <w:rsid w:val="00412844"/>
    <w:rsid w:val="0041576E"/>
    <w:rsid w:val="00422027"/>
    <w:rsid w:val="00425171"/>
    <w:rsid w:val="004274C5"/>
    <w:rsid w:val="004333DA"/>
    <w:rsid w:val="004356D5"/>
    <w:rsid w:val="00435CE9"/>
    <w:rsid w:val="00436E76"/>
    <w:rsid w:val="00443A26"/>
    <w:rsid w:val="0044425E"/>
    <w:rsid w:val="00457B69"/>
    <w:rsid w:val="00457F34"/>
    <w:rsid w:val="00460F16"/>
    <w:rsid w:val="00466A57"/>
    <w:rsid w:val="00467613"/>
    <w:rsid w:val="004677F1"/>
    <w:rsid w:val="00470C5C"/>
    <w:rsid w:val="00471D71"/>
    <w:rsid w:val="00471FB6"/>
    <w:rsid w:val="004736F4"/>
    <w:rsid w:val="00476F05"/>
    <w:rsid w:val="0047731C"/>
    <w:rsid w:val="00484549"/>
    <w:rsid w:val="00493011"/>
    <w:rsid w:val="004936F2"/>
    <w:rsid w:val="00495848"/>
    <w:rsid w:val="004973EE"/>
    <w:rsid w:val="004977DB"/>
    <w:rsid w:val="00497C48"/>
    <w:rsid w:val="004A019F"/>
    <w:rsid w:val="004A0EF7"/>
    <w:rsid w:val="004A3629"/>
    <w:rsid w:val="004B6829"/>
    <w:rsid w:val="004B6BEC"/>
    <w:rsid w:val="004C046C"/>
    <w:rsid w:val="004C17BA"/>
    <w:rsid w:val="004C204C"/>
    <w:rsid w:val="004C5C61"/>
    <w:rsid w:val="004D0D95"/>
    <w:rsid w:val="004D1515"/>
    <w:rsid w:val="004D1CED"/>
    <w:rsid w:val="004D2A3B"/>
    <w:rsid w:val="004D313F"/>
    <w:rsid w:val="004D7CAB"/>
    <w:rsid w:val="004E29EC"/>
    <w:rsid w:val="004E4AE6"/>
    <w:rsid w:val="004E5E73"/>
    <w:rsid w:val="004E7B5B"/>
    <w:rsid w:val="004F4B8D"/>
    <w:rsid w:val="004F6E93"/>
    <w:rsid w:val="004F7108"/>
    <w:rsid w:val="00500FD3"/>
    <w:rsid w:val="00503454"/>
    <w:rsid w:val="005140A4"/>
    <w:rsid w:val="00520967"/>
    <w:rsid w:val="00523787"/>
    <w:rsid w:val="00523833"/>
    <w:rsid w:val="005262EA"/>
    <w:rsid w:val="005374C6"/>
    <w:rsid w:val="005376F4"/>
    <w:rsid w:val="00541E1D"/>
    <w:rsid w:val="005427B7"/>
    <w:rsid w:val="005504AE"/>
    <w:rsid w:val="0055070C"/>
    <w:rsid w:val="00553B8C"/>
    <w:rsid w:val="00553E65"/>
    <w:rsid w:val="00556F64"/>
    <w:rsid w:val="00557EAE"/>
    <w:rsid w:val="0056108E"/>
    <w:rsid w:val="005614CC"/>
    <w:rsid w:val="00563FB3"/>
    <w:rsid w:val="00565324"/>
    <w:rsid w:val="005732B0"/>
    <w:rsid w:val="005745FB"/>
    <w:rsid w:val="00581A9C"/>
    <w:rsid w:val="0058392F"/>
    <w:rsid w:val="00586FF1"/>
    <w:rsid w:val="00590317"/>
    <w:rsid w:val="0059215E"/>
    <w:rsid w:val="00593A45"/>
    <w:rsid w:val="00595BB6"/>
    <w:rsid w:val="005975D9"/>
    <w:rsid w:val="0059770D"/>
    <w:rsid w:val="005A2810"/>
    <w:rsid w:val="005A360E"/>
    <w:rsid w:val="005A6354"/>
    <w:rsid w:val="005B20EE"/>
    <w:rsid w:val="005B3125"/>
    <w:rsid w:val="005B6E47"/>
    <w:rsid w:val="005C0225"/>
    <w:rsid w:val="005C2258"/>
    <w:rsid w:val="005C6B84"/>
    <w:rsid w:val="005C76FD"/>
    <w:rsid w:val="005D06B9"/>
    <w:rsid w:val="005D4B0E"/>
    <w:rsid w:val="005D6AC7"/>
    <w:rsid w:val="005D74B2"/>
    <w:rsid w:val="005E0F92"/>
    <w:rsid w:val="005E5BED"/>
    <w:rsid w:val="005F46FC"/>
    <w:rsid w:val="005F4B7A"/>
    <w:rsid w:val="005F7017"/>
    <w:rsid w:val="00600968"/>
    <w:rsid w:val="00606FF2"/>
    <w:rsid w:val="006128A6"/>
    <w:rsid w:val="006130CC"/>
    <w:rsid w:val="006138FB"/>
    <w:rsid w:val="00613B3D"/>
    <w:rsid w:val="00615463"/>
    <w:rsid w:val="00616A32"/>
    <w:rsid w:val="006208B8"/>
    <w:rsid w:val="00621D66"/>
    <w:rsid w:val="00626525"/>
    <w:rsid w:val="00626F5B"/>
    <w:rsid w:val="006276DE"/>
    <w:rsid w:val="006362DF"/>
    <w:rsid w:val="00642122"/>
    <w:rsid w:val="00643BDC"/>
    <w:rsid w:val="00643D35"/>
    <w:rsid w:val="006445B1"/>
    <w:rsid w:val="00650B63"/>
    <w:rsid w:val="00655CCF"/>
    <w:rsid w:val="0065668C"/>
    <w:rsid w:val="00661EAA"/>
    <w:rsid w:val="00663AAA"/>
    <w:rsid w:val="006643AF"/>
    <w:rsid w:val="006776DB"/>
    <w:rsid w:val="00677B1A"/>
    <w:rsid w:val="00677F06"/>
    <w:rsid w:val="006803D3"/>
    <w:rsid w:val="006813C5"/>
    <w:rsid w:val="00687443"/>
    <w:rsid w:val="006916F5"/>
    <w:rsid w:val="00693619"/>
    <w:rsid w:val="00694DEF"/>
    <w:rsid w:val="006A1D95"/>
    <w:rsid w:val="006A2467"/>
    <w:rsid w:val="006A3D7A"/>
    <w:rsid w:val="006A6A45"/>
    <w:rsid w:val="006B0453"/>
    <w:rsid w:val="006B1C8F"/>
    <w:rsid w:val="006B1F04"/>
    <w:rsid w:val="006B20ED"/>
    <w:rsid w:val="006C42B4"/>
    <w:rsid w:val="006C5783"/>
    <w:rsid w:val="006C6403"/>
    <w:rsid w:val="006E03F4"/>
    <w:rsid w:val="006E623B"/>
    <w:rsid w:val="006E76EB"/>
    <w:rsid w:val="006F3721"/>
    <w:rsid w:val="006F42CE"/>
    <w:rsid w:val="007005FF"/>
    <w:rsid w:val="00700633"/>
    <w:rsid w:val="00707B4F"/>
    <w:rsid w:val="00712831"/>
    <w:rsid w:val="00714132"/>
    <w:rsid w:val="00714AF0"/>
    <w:rsid w:val="00715C45"/>
    <w:rsid w:val="007252D8"/>
    <w:rsid w:val="00726566"/>
    <w:rsid w:val="007265F6"/>
    <w:rsid w:val="007321F8"/>
    <w:rsid w:val="0073309D"/>
    <w:rsid w:val="0073547E"/>
    <w:rsid w:val="007363CC"/>
    <w:rsid w:val="00741EB1"/>
    <w:rsid w:val="007423A6"/>
    <w:rsid w:val="00742832"/>
    <w:rsid w:val="007432A8"/>
    <w:rsid w:val="00745D2B"/>
    <w:rsid w:val="0074621E"/>
    <w:rsid w:val="007472E2"/>
    <w:rsid w:val="007508A0"/>
    <w:rsid w:val="007518E1"/>
    <w:rsid w:val="0075251F"/>
    <w:rsid w:val="007548B3"/>
    <w:rsid w:val="00757E93"/>
    <w:rsid w:val="00760DDD"/>
    <w:rsid w:val="00761F59"/>
    <w:rsid w:val="00765E2E"/>
    <w:rsid w:val="00767F72"/>
    <w:rsid w:val="007706EB"/>
    <w:rsid w:val="00771C6B"/>
    <w:rsid w:val="007724B2"/>
    <w:rsid w:val="00774E4C"/>
    <w:rsid w:val="00775D40"/>
    <w:rsid w:val="0077754E"/>
    <w:rsid w:val="007807D2"/>
    <w:rsid w:val="00782E74"/>
    <w:rsid w:val="00783A5A"/>
    <w:rsid w:val="00784D00"/>
    <w:rsid w:val="00791D10"/>
    <w:rsid w:val="00793E44"/>
    <w:rsid w:val="00794FE2"/>
    <w:rsid w:val="00795120"/>
    <w:rsid w:val="00795EA6"/>
    <w:rsid w:val="00796062"/>
    <w:rsid w:val="00797177"/>
    <w:rsid w:val="007972BD"/>
    <w:rsid w:val="007A18B4"/>
    <w:rsid w:val="007A5EA8"/>
    <w:rsid w:val="007A6289"/>
    <w:rsid w:val="007A636B"/>
    <w:rsid w:val="007B054A"/>
    <w:rsid w:val="007B0F12"/>
    <w:rsid w:val="007B0F74"/>
    <w:rsid w:val="007B2982"/>
    <w:rsid w:val="007B3D45"/>
    <w:rsid w:val="007B5775"/>
    <w:rsid w:val="007B696C"/>
    <w:rsid w:val="007D3368"/>
    <w:rsid w:val="007D37BF"/>
    <w:rsid w:val="007D597C"/>
    <w:rsid w:val="007D6A2D"/>
    <w:rsid w:val="007D7DA1"/>
    <w:rsid w:val="007E011D"/>
    <w:rsid w:val="007E1260"/>
    <w:rsid w:val="007E54DE"/>
    <w:rsid w:val="007E5C3F"/>
    <w:rsid w:val="007E7166"/>
    <w:rsid w:val="007E72EB"/>
    <w:rsid w:val="007F0671"/>
    <w:rsid w:val="007F5431"/>
    <w:rsid w:val="007F6360"/>
    <w:rsid w:val="0080440E"/>
    <w:rsid w:val="008065C6"/>
    <w:rsid w:val="00812BFD"/>
    <w:rsid w:val="00814E4C"/>
    <w:rsid w:val="00817EB5"/>
    <w:rsid w:val="00820505"/>
    <w:rsid w:val="008222FC"/>
    <w:rsid w:val="00824765"/>
    <w:rsid w:val="008255F3"/>
    <w:rsid w:val="008277BA"/>
    <w:rsid w:val="008279E9"/>
    <w:rsid w:val="00830261"/>
    <w:rsid w:val="008372E6"/>
    <w:rsid w:val="008402AE"/>
    <w:rsid w:val="008417BD"/>
    <w:rsid w:val="00842BE2"/>
    <w:rsid w:val="00844465"/>
    <w:rsid w:val="00847324"/>
    <w:rsid w:val="00850E6E"/>
    <w:rsid w:val="008552D9"/>
    <w:rsid w:val="00857352"/>
    <w:rsid w:val="0086061C"/>
    <w:rsid w:val="00860815"/>
    <w:rsid w:val="008629B1"/>
    <w:rsid w:val="00865D90"/>
    <w:rsid w:val="00867784"/>
    <w:rsid w:val="008702CA"/>
    <w:rsid w:val="008712CD"/>
    <w:rsid w:val="00872B44"/>
    <w:rsid w:val="00872EF6"/>
    <w:rsid w:val="00873E4B"/>
    <w:rsid w:val="00876A74"/>
    <w:rsid w:val="00882B9A"/>
    <w:rsid w:val="00884F84"/>
    <w:rsid w:val="008856B4"/>
    <w:rsid w:val="00887B26"/>
    <w:rsid w:val="0089551C"/>
    <w:rsid w:val="008A095C"/>
    <w:rsid w:val="008A18F5"/>
    <w:rsid w:val="008A3A04"/>
    <w:rsid w:val="008A3CA4"/>
    <w:rsid w:val="008C2230"/>
    <w:rsid w:val="008C3874"/>
    <w:rsid w:val="008C7ED7"/>
    <w:rsid w:val="008D02E9"/>
    <w:rsid w:val="008D211B"/>
    <w:rsid w:val="008D7A23"/>
    <w:rsid w:val="008E39BB"/>
    <w:rsid w:val="008F0AE4"/>
    <w:rsid w:val="008F3B25"/>
    <w:rsid w:val="008F7B77"/>
    <w:rsid w:val="0090225F"/>
    <w:rsid w:val="00911CBB"/>
    <w:rsid w:val="00912D7E"/>
    <w:rsid w:val="00917568"/>
    <w:rsid w:val="00921AA9"/>
    <w:rsid w:val="009231EF"/>
    <w:rsid w:val="0092623B"/>
    <w:rsid w:val="009262E1"/>
    <w:rsid w:val="00932387"/>
    <w:rsid w:val="00932DD5"/>
    <w:rsid w:val="00936BB9"/>
    <w:rsid w:val="0094042A"/>
    <w:rsid w:val="009521BE"/>
    <w:rsid w:val="00962299"/>
    <w:rsid w:val="00963C44"/>
    <w:rsid w:val="0096408F"/>
    <w:rsid w:val="00965494"/>
    <w:rsid w:val="00966237"/>
    <w:rsid w:val="0096732F"/>
    <w:rsid w:val="00972BB0"/>
    <w:rsid w:val="00980581"/>
    <w:rsid w:val="009808AE"/>
    <w:rsid w:val="00981624"/>
    <w:rsid w:val="00981BF1"/>
    <w:rsid w:val="00985FD1"/>
    <w:rsid w:val="00987CC6"/>
    <w:rsid w:val="0099362D"/>
    <w:rsid w:val="009954FA"/>
    <w:rsid w:val="00995BCB"/>
    <w:rsid w:val="009A2CEC"/>
    <w:rsid w:val="009A6708"/>
    <w:rsid w:val="009B232D"/>
    <w:rsid w:val="009B3BEF"/>
    <w:rsid w:val="009B5A88"/>
    <w:rsid w:val="009B5C31"/>
    <w:rsid w:val="009B6440"/>
    <w:rsid w:val="009C1BA5"/>
    <w:rsid w:val="009C1FBD"/>
    <w:rsid w:val="009C5E85"/>
    <w:rsid w:val="009D2BA4"/>
    <w:rsid w:val="009E1671"/>
    <w:rsid w:val="009E73F4"/>
    <w:rsid w:val="009F24CE"/>
    <w:rsid w:val="009F2953"/>
    <w:rsid w:val="00A00543"/>
    <w:rsid w:val="00A00ACA"/>
    <w:rsid w:val="00A01653"/>
    <w:rsid w:val="00A025A5"/>
    <w:rsid w:val="00A074B1"/>
    <w:rsid w:val="00A0793C"/>
    <w:rsid w:val="00A117AE"/>
    <w:rsid w:val="00A11968"/>
    <w:rsid w:val="00A14B01"/>
    <w:rsid w:val="00A22737"/>
    <w:rsid w:val="00A23FB9"/>
    <w:rsid w:val="00A2488E"/>
    <w:rsid w:val="00A25A04"/>
    <w:rsid w:val="00A32034"/>
    <w:rsid w:val="00A34B1F"/>
    <w:rsid w:val="00A34DC9"/>
    <w:rsid w:val="00A36502"/>
    <w:rsid w:val="00A3658F"/>
    <w:rsid w:val="00A40201"/>
    <w:rsid w:val="00A472CC"/>
    <w:rsid w:val="00A47DDF"/>
    <w:rsid w:val="00A52967"/>
    <w:rsid w:val="00A52BB0"/>
    <w:rsid w:val="00A57B2E"/>
    <w:rsid w:val="00A608A8"/>
    <w:rsid w:val="00A60907"/>
    <w:rsid w:val="00A630A5"/>
    <w:rsid w:val="00A67AD8"/>
    <w:rsid w:val="00A703DD"/>
    <w:rsid w:val="00A76E08"/>
    <w:rsid w:val="00A829DE"/>
    <w:rsid w:val="00A869AF"/>
    <w:rsid w:val="00A961C1"/>
    <w:rsid w:val="00AA02A6"/>
    <w:rsid w:val="00AA046A"/>
    <w:rsid w:val="00AA0E56"/>
    <w:rsid w:val="00AA22A0"/>
    <w:rsid w:val="00AA7921"/>
    <w:rsid w:val="00AB101F"/>
    <w:rsid w:val="00AB1662"/>
    <w:rsid w:val="00AB39DB"/>
    <w:rsid w:val="00AB6042"/>
    <w:rsid w:val="00AC407E"/>
    <w:rsid w:val="00AD03FC"/>
    <w:rsid w:val="00AD07F3"/>
    <w:rsid w:val="00AD0BC4"/>
    <w:rsid w:val="00AD2991"/>
    <w:rsid w:val="00AE2849"/>
    <w:rsid w:val="00AE53A3"/>
    <w:rsid w:val="00AF632A"/>
    <w:rsid w:val="00AF701A"/>
    <w:rsid w:val="00AF7C7E"/>
    <w:rsid w:val="00AF7EAE"/>
    <w:rsid w:val="00B00B43"/>
    <w:rsid w:val="00B00BBE"/>
    <w:rsid w:val="00B0141A"/>
    <w:rsid w:val="00B04255"/>
    <w:rsid w:val="00B042B5"/>
    <w:rsid w:val="00B11490"/>
    <w:rsid w:val="00B14B79"/>
    <w:rsid w:val="00B171A5"/>
    <w:rsid w:val="00B2051D"/>
    <w:rsid w:val="00B2309B"/>
    <w:rsid w:val="00B23B16"/>
    <w:rsid w:val="00B26E47"/>
    <w:rsid w:val="00B308C6"/>
    <w:rsid w:val="00B37A16"/>
    <w:rsid w:val="00B411D7"/>
    <w:rsid w:val="00B46816"/>
    <w:rsid w:val="00B46CD6"/>
    <w:rsid w:val="00B46E9F"/>
    <w:rsid w:val="00B52BEC"/>
    <w:rsid w:val="00B535A3"/>
    <w:rsid w:val="00B549D5"/>
    <w:rsid w:val="00B54D6E"/>
    <w:rsid w:val="00B55737"/>
    <w:rsid w:val="00B56057"/>
    <w:rsid w:val="00B616B2"/>
    <w:rsid w:val="00B6293E"/>
    <w:rsid w:val="00B64958"/>
    <w:rsid w:val="00B64F0B"/>
    <w:rsid w:val="00B6511F"/>
    <w:rsid w:val="00B67ED6"/>
    <w:rsid w:val="00B736F8"/>
    <w:rsid w:val="00B74D83"/>
    <w:rsid w:val="00B82C61"/>
    <w:rsid w:val="00B85028"/>
    <w:rsid w:val="00B85213"/>
    <w:rsid w:val="00B90B72"/>
    <w:rsid w:val="00B92557"/>
    <w:rsid w:val="00B92DD0"/>
    <w:rsid w:val="00B93797"/>
    <w:rsid w:val="00BA23AA"/>
    <w:rsid w:val="00BA25AD"/>
    <w:rsid w:val="00BA287D"/>
    <w:rsid w:val="00BA3477"/>
    <w:rsid w:val="00BA403A"/>
    <w:rsid w:val="00BA75A4"/>
    <w:rsid w:val="00BB1027"/>
    <w:rsid w:val="00BB3E64"/>
    <w:rsid w:val="00BB4F56"/>
    <w:rsid w:val="00BB7350"/>
    <w:rsid w:val="00BC01F7"/>
    <w:rsid w:val="00BC0726"/>
    <w:rsid w:val="00BC11EF"/>
    <w:rsid w:val="00BC1726"/>
    <w:rsid w:val="00BC1B7C"/>
    <w:rsid w:val="00BC42E8"/>
    <w:rsid w:val="00BC4A0F"/>
    <w:rsid w:val="00BC530A"/>
    <w:rsid w:val="00BC538D"/>
    <w:rsid w:val="00BC62AA"/>
    <w:rsid w:val="00BC6A5C"/>
    <w:rsid w:val="00BD0A04"/>
    <w:rsid w:val="00BD1DD7"/>
    <w:rsid w:val="00BD358C"/>
    <w:rsid w:val="00BD69FD"/>
    <w:rsid w:val="00BD7AD2"/>
    <w:rsid w:val="00BE15DF"/>
    <w:rsid w:val="00BE24C2"/>
    <w:rsid w:val="00BE6056"/>
    <w:rsid w:val="00BF12D6"/>
    <w:rsid w:val="00BF193C"/>
    <w:rsid w:val="00BF261B"/>
    <w:rsid w:val="00BF572D"/>
    <w:rsid w:val="00BF58C8"/>
    <w:rsid w:val="00C019BC"/>
    <w:rsid w:val="00C102B4"/>
    <w:rsid w:val="00C1099A"/>
    <w:rsid w:val="00C10A44"/>
    <w:rsid w:val="00C128FD"/>
    <w:rsid w:val="00C12C0F"/>
    <w:rsid w:val="00C15A18"/>
    <w:rsid w:val="00C170BC"/>
    <w:rsid w:val="00C20B06"/>
    <w:rsid w:val="00C2121F"/>
    <w:rsid w:val="00C221E8"/>
    <w:rsid w:val="00C22694"/>
    <w:rsid w:val="00C23C0B"/>
    <w:rsid w:val="00C25DDF"/>
    <w:rsid w:val="00C2634B"/>
    <w:rsid w:val="00C27929"/>
    <w:rsid w:val="00C3080E"/>
    <w:rsid w:val="00C31CB9"/>
    <w:rsid w:val="00C34F1A"/>
    <w:rsid w:val="00C356AA"/>
    <w:rsid w:val="00C369C3"/>
    <w:rsid w:val="00C439C5"/>
    <w:rsid w:val="00C457B1"/>
    <w:rsid w:val="00C501D1"/>
    <w:rsid w:val="00C5077E"/>
    <w:rsid w:val="00C53C4E"/>
    <w:rsid w:val="00C54130"/>
    <w:rsid w:val="00C56C1F"/>
    <w:rsid w:val="00C609CD"/>
    <w:rsid w:val="00C63404"/>
    <w:rsid w:val="00C65C21"/>
    <w:rsid w:val="00C66D52"/>
    <w:rsid w:val="00C674E5"/>
    <w:rsid w:val="00C72062"/>
    <w:rsid w:val="00C7508C"/>
    <w:rsid w:val="00C847F1"/>
    <w:rsid w:val="00C87CAC"/>
    <w:rsid w:val="00CA09CD"/>
    <w:rsid w:val="00CA2FA2"/>
    <w:rsid w:val="00CA30DA"/>
    <w:rsid w:val="00CA7FEE"/>
    <w:rsid w:val="00CB4ADC"/>
    <w:rsid w:val="00CB79D5"/>
    <w:rsid w:val="00CC093B"/>
    <w:rsid w:val="00CC2D80"/>
    <w:rsid w:val="00CC36E8"/>
    <w:rsid w:val="00CC5BEC"/>
    <w:rsid w:val="00CD4703"/>
    <w:rsid w:val="00CD548E"/>
    <w:rsid w:val="00CE2CA7"/>
    <w:rsid w:val="00CE397E"/>
    <w:rsid w:val="00CE5CA9"/>
    <w:rsid w:val="00CE6B14"/>
    <w:rsid w:val="00CF04AE"/>
    <w:rsid w:val="00CF11A1"/>
    <w:rsid w:val="00CF302A"/>
    <w:rsid w:val="00CF6601"/>
    <w:rsid w:val="00D00D68"/>
    <w:rsid w:val="00D027D9"/>
    <w:rsid w:val="00D03ABB"/>
    <w:rsid w:val="00D043F5"/>
    <w:rsid w:val="00D11837"/>
    <w:rsid w:val="00D11DEC"/>
    <w:rsid w:val="00D125E3"/>
    <w:rsid w:val="00D17A65"/>
    <w:rsid w:val="00D2108F"/>
    <w:rsid w:val="00D21C81"/>
    <w:rsid w:val="00D24DE6"/>
    <w:rsid w:val="00D25BF5"/>
    <w:rsid w:val="00D302E0"/>
    <w:rsid w:val="00D307B5"/>
    <w:rsid w:val="00D30ABE"/>
    <w:rsid w:val="00D30E7B"/>
    <w:rsid w:val="00D32AAB"/>
    <w:rsid w:val="00D33094"/>
    <w:rsid w:val="00D35E4A"/>
    <w:rsid w:val="00D40A33"/>
    <w:rsid w:val="00D44CBA"/>
    <w:rsid w:val="00D465A4"/>
    <w:rsid w:val="00D5016F"/>
    <w:rsid w:val="00D50B92"/>
    <w:rsid w:val="00D65321"/>
    <w:rsid w:val="00D65B91"/>
    <w:rsid w:val="00D74500"/>
    <w:rsid w:val="00D80853"/>
    <w:rsid w:val="00D82079"/>
    <w:rsid w:val="00D926CD"/>
    <w:rsid w:val="00D92A6B"/>
    <w:rsid w:val="00D96CB9"/>
    <w:rsid w:val="00DA2A8D"/>
    <w:rsid w:val="00DA596E"/>
    <w:rsid w:val="00DB06D9"/>
    <w:rsid w:val="00DB2DEE"/>
    <w:rsid w:val="00DB4964"/>
    <w:rsid w:val="00DB4C6C"/>
    <w:rsid w:val="00DB6BD1"/>
    <w:rsid w:val="00DC172B"/>
    <w:rsid w:val="00DC3673"/>
    <w:rsid w:val="00DC4643"/>
    <w:rsid w:val="00DC484D"/>
    <w:rsid w:val="00DC4A6D"/>
    <w:rsid w:val="00DD4115"/>
    <w:rsid w:val="00DE0BAA"/>
    <w:rsid w:val="00DF23BA"/>
    <w:rsid w:val="00DF7B83"/>
    <w:rsid w:val="00DF7E4E"/>
    <w:rsid w:val="00E0134F"/>
    <w:rsid w:val="00E02BBC"/>
    <w:rsid w:val="00E121F4"/>
    <w:rsid w:val="00E12222"/>
    <w:rsid w:val="00E13894"/>
    <w:rsid w:val="00E16317"/>
    <w:rsid w:val="00E22521"/>
    <w:rsid w:val="00E233C6"/>
    <w:rsid w:val="00E24FC2"/>
    <w:rsid w:val="00E3077F"/>
    <w:rsid w:val="00E309BC"/>
    <w:rsid w:val="00E32A9A"/>
    <w:rsid w:val="00E374C7"/>
    <w:rsid w:val="00E4117B"/>
    <w:rsid w:val="00E41E14"/>
    <w:rsid w:val="00E543C0"/>
    <w:rsid w:val="00E56190"/>
    <w:rsid w:val="00E5676B"/>
    <w:rsid w:val="00E56F49"/>
    <w:rsid w:val="00E57508"/>
    <w:rsid w:val="00E6042F"/>
    <w:rsid w:val="00E62BB2"/>
    <w:rsid w:val="00E631D0"/>
    <w:rsid w:val="00E66F59"/>
    <w:rsid w:val="00E67E3A"/>
    <w:rsid w:val="00E709AD"/>
    <w:rsid w:val="00E74CE1"/>
    <w:rsid w:val="00E74F9B"/>
    <w:rsid w:val="00E77CC9"/>
    <w:rsid w:val="00E81E09"/>
    <w:rsid w:val="00E82828"/>
    <w:rsid w:val="00E87DA6"/>
    <w:rsid w:val="00E9227E"/>
    <w:rsid w:val="00E971E4"/>
    <w:rsid w:val="00E9742A"/>
    <w:rsid w:val="00EA0D75"/>
    <w:rsid w:val="00EA1F39"/>
    <w:rsid w:val="00EA2738"/>
    <w:rsid w:val="00EA2B22"/>
    <w:rsid w:val="00EA76C1"/>
    <w:rsid w:val="00EB1EB9"/>
    <w:rsid w:val="00EB3FE1"/>
    <w:rsid w:val="00EB4C65"/>
    <w:rsid w:val="00EB5805"/>
    <w:rsid w:val="00EB6DCC"/>
    <w:rsid w:val="00EB6FC7"/>
    <w:rsid w:val="00EB7206"/>
    <w:rsid w:val="00EC0B1A"/>
    <w:rsid w:val="00EC5CA9"/>
    <w:rsid w:val="00ED0505"/>
    <w:rsid w:val="00ED054A"/>
    <w:rsid w:val="00ED0FCB"/>
    <w:rsid w:val="00ED618C"/>
    <w:rsid w:val="00ED688E"/>
    <w:rsid w:val="00EE166B"/>
    <w:rsid w:val="00EF07B4"/>
    <w:rsid w:val="00EF0905"/>
    <w:rsid w:val="00EF1BC2"/>
    <w:rsid w:val="00EF4B15"/>
    <w:rsid w:val="00EF4C81"/>
    <w:rsid w:val="00EF5FA9"/>
    <w:rsid w:val="00EF7C53"/>
    <w:rsid w:val="00F0174C"/>
    <w:rsid w:val="00F03DB9"/>
    <w:rsid w:val="00F07DB5"/>
    <w:rsid w:val="00F10FF1"/>
    <w:rsid w:val="00F13694"/>
    <w:rsid w:val="00F13E28"/>
    <w:rsid w:val="00F14949"/>
    <w:rsid w:val="00F21BFB"/>
    <w:rsid w:val="00F301A8"/>
    <w:rsid w:val="00F30A99"/>
    <w:rsid w:val="00F3278D"/>
    <w:rsid w:val="00F3284D"/>
    <w:rsid w:val="00F34870"/>
    <w:rsid w:val="00F41530"/>
    <w:rsid w:val="00F41CC5"/>
    <w:rsid w:val="00F460C9"/>
    <w:rsid w:val="00F4728C"/>
    <w:rsid w:val="00F51CC7"/>
    <w:rsid w:val="00F544DE"/>
    <w:rsid w:val="00F565B9"/>
    <w:rsid w:val="00F6099A"/>
    <w:rsid w:val="00F623FE"/>
    <w:rsid w:val="00F62919"/>
    <w:rsid w:val="00F668CB"/>
    <w:rsid w:val="00F66994"/>
    <w:rsid w:val="00F669DC"/>
    <w:rsid w:val="00F741B3"/>
    <w:rsid w:val="00F75CCE"/>
    <w:rsid w:val="00F84860"/>
    <w:rsid w:val="00F8715E"/>
    <w:rsid w:val="00F914F9"/>
    <w:rsid w:val="00F91988"/>
    <w:rsid w:val="00F91E33"/>
    <w:rsid w:val="00F924AF"/>
    <w:rsid w:val="00F9654E"/>
    <w:rsid w:val="00F96C10"/>
    <w:rsid w:val="00F96DFC"/>
    <w:rsid w:val="00F974E5"/>
    <w:rsid w:val="00F97BBE"/>
    <w:rsid w:val="00FA0695"/>
    <w:rsid w:val="00FB0E90"/>
    <w:rsid w:val="00FB201F"/>
    <w:rsid w:val="00FB2792"/>
    <w:rsid w:val="00FB3D4C"/>
    <w:rsid w:val="00FB6990"/>
    <w:rsid w:val="00FB7AC7"/>
    <w:rsid w:val="00FC15C0"/>
    <w:rsid w:val="00FC3E4D"/>
    <w:rsid w:val="00FC450A"/>
    <w:rsid w:val="00FC4BD9"/>
    <w:rsid w:val="00FC4DBB"/>
    <w:rsid w:val="00FC69BD"/>
    <w:rsid w:val="00FD0CAD"/>
    <w:rsid w:val="00FE01DF"/>
    <w:rsid w:val="00FE4654"/>
    <w:rsid w:val="00FE6EE7"/>
    <w:rsid w:val="00FF0249"/>
    <w:rsid w:val="00FF2521"/>
    <w:rsid w:val="00FF26C8"/>
    <w:rsid w:val="00FF36C1"/>
    <w:rsid w:val="00FF525C"/>
    <w:rsid w:val="00FF7DD5"/>
    <w:rsid w:val="03F84D6E"/>
    <w:rsid w:val="050414F1"/>
    <w:rsid w:val="05080FE1"/>
    <w:rsid w:val="058B39C0"/>
    <w:rsid w:val="06C673A5"/>
    <w:rsid w:val="07013F3A"/>
    <w:rsid w:val="07ED0962"/>
    <w:rsid w:val="088E3EF3"/>
    <w:rsid w:val="0B095AB3"/>
    <w:rsid w:val="0B1526A9"/>
    <w:rsid w:val="0B2E72C7"/>
    <w:rsid w:val="0D814026"/>
    <w:rsid w:val="0ED4462A"/>
    <w:rsid w:val="0F15709A"/>
    <w:rsid w:val="0F340C24"/>
    <w:rsid w:val="0F587009"/>
    <w:rsid w:val="0FC621C4"/>
    <w:rsid w:val="119D51A7"/>
    <w:rsid w:val="12062D4C"/>
    <w:rsid w:val="129B75E6"/>
    <w:rsid w:val="14264FE0"/>
    <w:rsid w:val="16890701"/>
    <w:rsid w:val="1B522B5E"/>
    <w:rsid w:val="1CD959C2"/>
    <w:rsid w:val="1E020665"/>
    <w:rsid w:val="1E37428D"/>
    <w:rsid w:val="1EB458DE"/>
    <w:rsid w:val="1FE8583F"/>
    <w:rsid w:val="21AF0D0A"/>
    <w:rsid w:val="21BA145D"/>
    <w:rsid w:val="22965A26"/>
    <w:rsid w:val="22D95913"/>
    <w:rsid w:val="23842A0F"/>
    <w:rsid w:val="248C4447"/>
    <w:rsid w:val="264C6DEB"/>
    <w:rsid w:val="26F1147D"/>
    <w:rsid w:val="286E4D4F"/>
    <w:rsid w:val="2C6646BB"/>
    <w:rsid w:val="2D19172E"/>
    <w:rsid w:val="2D2B320F"/>
    <w:rsid w:val="2F754C15"/>
    <w:rsid w:val="305B102D"/>
    <w:rsid w:val="30B67293"/>
    <w:rsid w:val="30BA3228"/>
    <w:rsid w:val="31CB6D6E"/>
    <w:rsid w:val="337771AE"/>
    <w:rsid w:val="34533777"/>
    <w:rsid w:val="3732128A"/>
    <w:rsid w:val="3881462B"/>
    <w:rsid w:val="38BB2197"/>
    <w:rsid w:val="38BF587F"/>
    <w:rsid w:val="38C70290"/>
    <w:rsid w:val="39287883"/>
    <w:rsid w:val="3B673FAC"/>
    <w:rsid w:val="3E2241BA"/>
    <w:rsid w:val="3FCC6AD3"/>
    <w:rsid w:val="41562AF9"/>
    <w:rsid w:val="42D779AB"/>
    <w:rsid w:val="43DB72E5"/>
    <w:rsid w:val="453D2CE7"/>
    <w:rsid w:val="454E724F"/>
    <w:rsid w:val="4582210E"/>
    <w:rsid w:val="46431172"/>
    <w:rsid w:val="47C25B7F"/>
    <w:rsid w:val="48517B76"/>
    <w:rsid w:val="4BED5E07"/>
    <w:rsid w:val="4CDB2104"/>
    <w:rsid w:val="4D245859"/>
    <w:rsid w:val="4DDD4195"/>
    <w:rsid w:val="4E0B16CC"/>
    <w:rsid w:val="4EB26E94"/>
    <w:rsid w:val="50BE7D72"/>
    <w:rsid w:val="514E10F6"/>
    <w:rsid w:val="529A65BD"/>
    <w:rsid w:val="52CD6993"/>
    <w:rsid w:val="53A92F5C"/>
    <w:rsid w:val="54216F96"/>
    <w:rsid w:val="54790B80"/>
    <w:rsid w:val="548968E9"/>
    <w:rsid w:val="55821CB6"/>
    <w:rsid w:val="55DD513F"/>
    <w:rsid w:val="577E200A"/>
    <w:rsid w:val="5A623E64"/>
    <w:rsid w:val="5AEB3E5A"/>
    <w:rsid w:val="5BFF42F0"/>
    <w:rsid w:val="5C292E8C"/>
    <w:rsid w:val="5C4A4BB0"/>
    <w:rsid w:val="5CFE1204"/>
    <w:rsid w:val="5E0F60B1"/>
    <w:rsid w:val="5E5B4E53"/>
    <w:rsid w:val="5FEE6D27"/>
    <w:rsid w:val="60BD3BA3"/>
    <w:rsid w:val="61453B98"/>
    <w:rsid w:val="62FA5695"/>
    <w:rsid w:val="63C811DC"/>
    <w:rsid w:val="63D01E3F"/>
    <w:rsid w:val="646627A3"/>
    <w:rsid w:val="64D33A17"/>
    <w:rsid w:val="64E77440"/>
    <w:rsid w:val="668C4743"/>
    <w:rsid w:val="66A650D9"/>
    <w:rsid w:val="672C1A82"/>
    <w:rsid w:val="67580AC9"/>
    <w:rsid w:val="684D7F02"/>
    <w:rsid w:val="6C6540D7"/>
    <w:rsid w:val="71E33685"/>
    <w:rsid w:val="73682BF8"/>
    <w:rsid w:val="747E1443"/>
    <w:rsid w:val="74933140"/>
    <w:rsid w:val="74C74B98"/>
    <w:rsid w:val="75061B64"/>
    <w:rsid w:val="759A04FF"/>
    <w:rsid w:val="75B74C0D"/>
    <w:rsid w:val="76E2215D"/>
    <w:rsid w:val="79A11E5C"/>
    <w:rsid w:val="7A3507F6"/>
    <w:rsid w:val="7A4078C7"/>
    <w:rsid w:val="7A5E0A20"/>
    <w:rsid w:val="7AA5772A"/>
    <w:rsid w:val="7B3665D4"/>
    <w:rsid w:val="7B601297"/>
    <w:rsid w:val="7B7A0BB6"/>
    <w:rsid w:val="7C7E0232"/>
    <w:rsid w:val="7D3905FD"/>
    <w:rsid w:val="7D4F60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
    <w:name w:val="heading 1"/>
    <w:basedOn w:val="1"/>
    <w:next w:val="1"/>
    <w:link w:val="30"/>
    <w:qFormat/>
    <w:uiPriority w:val="9"/>
    <w:pPr>
      <w:keepNext/>
      <w:keepLines/>
      <w:spacing w:before="120" w:after="120"/>
      <w:outlineLvl w:val="0"/>
    </w:pPr>
    <w:rPr>
      <w:rFonts w:eastAsia="黑体"/>
      <w:b/>
      <w:bCs/>
      <w:kern w:val="44"/>
      <w:szCs w:val="44"/>
    </w:rPr>
  </w:style>
  <w:style w:type="paragraph" w:styleId="3">
    <w:name w:val="heading 2"/>
    <w:basedOn w:val="1"/>
    <w:next w:val="1"/>
    <w:link w:val="32"/>
    <w:unhideWhenUsed/>
    <w:qFormat/>
    <w:uiPriority w:val="9"/>
    <w:pPr>
      <w:keepNext/>
      <w:keepLines/>
      <w:spacing w:before="120" w:after="120"/>
      <w:outlineLvl w:val="1"/>
    </w:pPr>
    <w:rPr>
      <w:rFonts w:eastAsia="黑体" w:asciiTheme="majorHAnsi" w:hAnsiTheme="majorHAnsi" w:cstheme="majorBidi"/>
      <w:b/>
      <w:bCs/>
      <w:sz w:val="28"/>
      <w:szCs w:val="32"/>
    </w:rPr>
  </w:style>
  <w:style w:type="paragraph" w:styleId="4">
    <w:name w:val="heading 3"/>
    <w:basedOn w:val="1"/>
    <w:next w:val="1"/>
    <w:link w:val="34"/>
    <w:unhideWhenUsed/>
    <w:qFormat/>
    <w:uiPriority w:val="9"/>
    <w:pPr>
      <w:keepNext/>
      <w:keepLines/>
      <w:outlineLvl w:val="2"/>
    </w:pPr>
    <w:rPr>
      <w:b/>
      <w:bCs/>
      <w:szCs w:val="32"/>
    </w:rPr>
  </w:style>
  <w:style w:type="paragraph" w:styleId="5">
    <w:name w:val="heading 4"/>
    <w:basedOn w:val="1"/>
    <w:next w:val="1"/>
    <w:link w:val="37"/>
    <w:semiHidden/>
    <w:unhideWhenUsed/>
    <w:qFormat/>
    <w:uiPriority w:val="9"/>
    <w:pPr>
      <w:keepNext/>
      <w:keepLines/>
      <w:jc w:val="left"/>
      <w:outlineLvl w:val="3"/>
    </w:pPr>
    <w:rPr>
      <w:rFonts w:asciiTheme="majorHAnsi" w:hAnsiTheme="majorHAnsi" w:eastAsiaTheme="majorEastAsia" w:cstheme="majorBidi"/>
      <w:b/>
      <w:bCs/>
      <w:spacing w:val="6"/>
      <w:szCs w:val="28"/>
      <w:lang w:eastAsia="en-U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66"/>
    <w:semiHidden/>
    <w:unhideWhenUsed/>
    <w:qFormat/>
    <w:uiPriority w:val="99"/>
    <w:pPr>
      <w:jc w:val="left"/>
    </w:pPr>
  </w:style>
  <w:style w:type="paragraph" w:styleId="7">
    <w:name w:val="Body Text"/>
    <w:basedOn w:val="1"/>
    <w:link w:val="38"/>
    <w:semiHidden/>
    <w:unhideWhenUsed/>
    <w:qFormat/>
    <w:uiPriority w:val="99"/>
    <w:pPr>
      <w:spacing w:after="120"/>
    </w:pPr>
  </w:style>
  <w:style w:type="paragraph" w:styleId="8">
    <w:name w:val="Body Text Indent"/>
    <w:basedOn w:val="1"/>
    <w:link w:val="35"/>
    <w:semiHidden/>
    <w:unhideWhenUsed/>
    <w:qFormat/>
    <w:uiPriority w:val="99"/>
    <w:pPr>
      <w:spacing w:after="120"/>
      <w:ind w:left="420" w:leftChars="200"/>
    </w:pPr>
  </w:style>
  <w:style w:type="paragraph" w:styleId="9">
    <w:name w:val="toc 3"/>
    <w:basedOn w:val="1"/>
    <w:next w:val="1"/>
    <w:unhideWhenUsed/>
    <w:qFormat/>
    <w:uiPriority w:val="39"/>
    <w:pPr>
      <w:tabs>
        <w:tab w:val="clear" w:pos="4201"/>
        <w:tab w:val="clear" w:pos="9298"/>
      </w:tabs>
      <w:ind w:left="840" w:leftChars="400"/>
    </w:pPr>
  </w:style>
  <w:style w:type="paragraph" w:styleId="10">
    <w:name w:val="Balloon Text"/>
    <w:basedOn w:val="1"/>
    <w:link w:val="65"/>
    <w:semiHidden/>
    <w:unhideWhenUsed/>
    <w:qFormat/>
    <w:uiPriority w:val="99"/>
    <w:rPr>
      <w:sz w:val="18"/>
      <w:szCs w:val="18"/>
    </w:rPr>
  </w:style>
  <w:style w:type="paragraph" w:styleId="11">
    <w:name w:val="footer"/>
    <w:basedOn w:val="1"/>
    <w:link w:val="40"/>
    <w:qFormat/>
    <w:uiPriority w:val="99"/>
    <w:pPr>
      <w:snapToGrid w:val="0"/>
      <w:ind w:right="210" w:rightChars="100"/>
      <w:jc w:val="right"/>
    </w:pPr>
    <w:rPr>
      <w:sz w:val="18"/>
      <w:szCs w:val="18"/>
    </w:rPr>
  </w:style>
  <w:style w:type="paragraph" w:styleId="12">
    <w:name w:val="header"/>
    <w:basedOn w:val="1"/>
    <w:link w:val="41"/>
    <w:qFormat/>
    <w:uiPriority w:val="0"/>
    <w:pPr>
      <w:snapToGrid w:val="0"/>
      <w:jc w:val="left"/>
    </w:pPr>
    <w:rPr>
      <w:sz w:val="18"/>
      <w:szCs w:val="18"/>
    </w:rPr>
  </w:style>
  <w:style w:type="paragraph" w:styleId="13">
    <w:name w:val="toc 1"/>
    <w:basedOn w:val="1"/>
    <w:next w:val="1"/>
    <w:unhideWhenUsed/>
    <w:qFormat/>
    <w:uiPriority w:val="39"/>
    <w:pPr>
      <w:tabs>
        <w:tab w:val="clear" w:pos="4201"/>
        <w:tab w:val="clear" w:pos="9298"/>
      </w:tabs>
    </w:pPr>
  </w:style>
  <w:style w:type="paragraph" w:styleId="14">
    <w:name w:val="Subtitle"/>
    <w:next w:val="1"/>
    <w:link w:val="33"/>
    <w:qFormat/>
    <w:uiPriority w:val="0"/>
    <w:pPr>
      <w:spacing w:before="120" w:after="120"/>
      <w:jc w:val="center"/>
      <w:outlineLvl w:val="1"/>
    </w:pPr>
    <w:rPr>
      <w:rFonts w:ascii="Arial" w:hAnsi="Arial" w:eastAsia="宋体" w:cstheme="minorBidi"/>
      <w:kern w:val="28"/>
      <w:sz w:val="28"/>
      <w:lang w:val="en-US" w:eastAsia="zh-CN" w:bidi="ar-SA"/>
    </w:rPr>
  </w:style>
  <w:style w:type="paragraph" w:styleId="15">
    <w:name w:val="footnote text"/>
    <w:basedOn w:val="1"/>
    <w:link w:val="71"/>
    <w:semiHidden/>
    <w:unhideWhenUsed/>
    <w:uiPriority w:val="99"/>
    <w:pPr>
      <w:snapToGrid w:val="0"/>
      <w:jc w:val="left"/>
    </w:pPr>
    <w:rPr>
      <w:sz w:val="18"/>
      <w:szCs w:val="18"/>
    </w:rPr>
  </w:style>
  <w:style w:type="paragraph" w:styleId="16">
    <w:name w:val="toc 2"/>
    <w:basedOn w:val="1"/>
    <w:next w:val="1"/>
    <w:unhideWhenUsed/>
    <w:qFormat/>
    <w:uiPriority w:val="39"/>
    <w:pPr>
      <w:tabs>
        <w:tab w:val="left" w:pos="1456"/>
        <w:tab w:val="right" w:leader="dot" w:pos="9060"/>
        <w:tab w:val="clear" w:pos="4201"/>
        <w:tab w:val="clear" w:pos="9298"/>
      </w:tabs>
      <w:ind w:left="420" w:leftChars="200"/>
    </w:pPr>
  </w:style>
  <w:style w:type="paragraph" w:styleId="17">
    <w:name w:val="Normal (Web)"/>
    <w:basedOn w:val="1"/>
    <w:semiHidden/>
    <w:unhideWhenUsed/>
    <w:uiPriority w:val="99"/>
    <w:rPr>
      <w:sz w:val="24"/>
    </w:rPr>
  </w:style>
  <w:style w:type="paragraph" w:styleId="18">
    <w:name w:val="Title"/>
    <w:next w:val="1"/>
    <w:link w:val="31"/>
    <w:qFormat/>
    <w:uiPriority w:val="0"/>
    <w:pPr>
      <w:spacing w:before="120" w:after="120"/>
      <w:jc w:val="center"/>
      <w:outlineLvl w:val="0"/>
    </w:pPr>
    <w:rPr>
      <w:rFonts w:ascii="Verdana" w:hAnsi="Verdana" w:eastAsia="微软雅黑" w:cstheme="minorBidi"/>
      <w:b/>
      <w:sz w:val="32"/>
      <w:lang w:val="en-US" w:eastAsia="zh-CN" w:bidi="ar-SA"/>
    </w:rPr>
  </w:style>
  <w:style w:type="paragraph" w:styleId="19">
    <w:name w:val="annotation subject"/>
    <w:basedOn w:val="6"/>
    <w:next w:val="6"/>
    <w:link w:val="67"/>
    <w:semiHidden/>
    <w:unhideWhenUsed/>
    <w:qFormat/>
    <w:uiPriority w:val="99"/>
    <w:rPr>
      <w:b/>
      <w:bCs/>
    </w:rPr>
  </w:style>
  <w:style w:type="paragraph" w:styleId="20">
    <w:name w:val="Body Text First Indent"/>
    <w:basedOn w:val="7"/>
    <w:link w:val="39"/>
    <w:semiHidden/>
    <w:unhideWhenUsed/>
    <w:qFormat/>
    <w:uiPriority w:val="99"/>
    <w:pPr>
      <w:spacing w:after="0"/>
      <w:ind w:firstLine="200"/>
    </w:pPr>
  </w:style>
  <w:style w:type="paragraph" w:styleId="21">
    <w:name w:val="Body Text First Indent 2"/>
    <w:basedOn w:val="8"/>
    <w:link w:val="36"/>
    <w:unhideWhenUsed/>
    <w:qFormat/>
    <w:uiPriority w:val="99"/>
    <w:pPr>
      <w:spacing w:after="0"/>
      <w:ind w:left="0" w:leftChars="0" w:firstLine="200"/>
    </w:pPr>
    <w:rPr>
      <w:szCs w:val="22"/>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rPr>
      <w:rFonts w:ascii="Times New Roman" w:hAnsi="Times New Roman" w:eastAsia="宋体"/>
      <w:sz w:val="18"/>
    </w:rPr>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Hyperlink"/>
    <w:basedOn w:val="24"/>
    <w:unhideWhenUsed/>
    <w:qFormat/>
    <w:uiPriority w:val="99"/>
    <w:rPr>
      <w:color w:val="0563C1" w:themeColor="hyperlink"/>
      <w:u w:val="single"/>
      <w14:textFill>
        <w14:solidFill>
          <w14:schemeClr w14:val="hlink"/>
        </w14:solidFill>
      </w14:textFill>
    </w:rPr>
  </w:style>
  <w:style w:type="character" w:styleId="28">
    <w:name w:val="annotation reference"/>
    <w:basedOn w:val="24"/>
    <w:semiHidden/>
    <w:unhideWhenUsed/>
    <w:qFormat/>
    <w:uiPriority w:val="99"/>
    <w:rPr>
      <w:sz w:val="21"/>
      <w:szCs w:val="21"/>
    </w:rPr>
  </w:style>
  <w:style w:type="character" w:styleId="29">
    <w:name w:val="footnote reference"/>
    <w:basedOn w:val="24"/>
    <w:semiHidden/>
    <w:unhideWhenUsed/>
    <w:qFormat/>
    <w:uiPriority w:val="99"/>
    <w:rPr>
      <w:vertAlign w:val="superscript"/>
    </w:rPr>
  </w:style>
  <w:style w:type="character" w:customStyle="1" w:styleId="30">
    <w:name w:val="标题 1 字符"/>
    <w:basedOn w:val="24"/>
    <w:link w:val="2"/>
    <w:qFormat/>
    <w:uiPriority w:val="9"/>
    <w:rPr>
      <w:rFonts w:ascii="宋体" w:hAnsi="Times New Roman" w:eastAsia="黑体" w:cs="Times New Roman"/>
      <w:b/>
      <w:bCs/>
      <w:kern w:val="44"/>
      <w:szCs w:val="44"/>
    </w:rPr>
  </w:style>
  <w:style w:type="character" w:customStyle="1" w:styleId="31">
    <w:name w:val="标题 字符"/>
    <w:basedOn w:val="24"/>
    <w:link w:val="18"/>
    <w:qFormat/>
    <w:uiPriority w:val="0"/>
    <w:rPr>
      <w:rFonts w:ascii="Verdana" w:hAnsi="Verdana" w:eastAsia="微软雅黑"/>
      <w:b/>
      <w:kern w:val="0"/>
      <w:sz w:val="32"/>
      <w:szCs w:val="20"/>
    </w:rPr>
  </w:style>
  <w:style w:type="character" w:customStyle="1" w:styleId="32">
    <w:name w:val="标题 2 字符"/>
    <w:basedOn w:val="24"/>
    <w:link w:val="3"/>
    <w:qFormat/>
    <w:uiPriority w:val="9"/>
    <w:rPr>
      <w:rFonts w:eastAsia="黑体" w:asciiTheme="majorHAnsi" w:hAnsiTheme="majorHAnsi" w:cstheme="majorBidi"/>
      <w:b/>
      <w:bCs/>
      <w:sz w:val="28"/>
      <w:szCs w:val="32"/>
    </w:rPr>
  </w:style>
  <w:style w:type="character" w:customStyle="1" w:styleId="33">
    <w:name w:val="副标题 字符"/>
    <w:basedOn w:val="24"/>
    <w:link w:val="14"/>
    <w:qFormat/>
    <w:uiPriority w:val="0"/>
    <w:rPr>
      <w:rFonts w:ascii="Arial" w:hAnsi="Arial" w:eastAsia="宋体"/>
      <w:kern w:val="28"/>
      <w:sz w:val="28"/>
      <w:szCs w:val="20"/>
    </w:rPr>
  </w:style>
  <w:style w:type="character" w:customStyle="1" w:styleId="34">
    <w:name w:val="标题 3 字符"/>
    <w:basedOn w:val="24"/>
    <w:link w:val="4"/>
    <w:qFormat/>
    <w:uiPriority w:val="9"/>
    <w:rPr>
      <w:rFonts w:eastAsia="宋体"/>
      <w:b/>
      <w:bCs/>
      <w:sz w:val="24"/>
      <w:szCs w:val="32"/>
    </w:rPr>
  </w:style>
  <w:style w:type="character" w:customStyle="1" w:styleId="35">
    <w:name w:val="正文文本缩进 字符"/>
    <w:basedOn w:val="24"/>
    <w:link w:val="8"/>
    <w:semiHidden/>
    <w:qFormat/>
    <w:uiPriority w:val="99"/>
  </w:style>
  <w:style w:type="character" w:customStyle="1" w:styleId="36">
    <w:name w:val="正文文本首行缩进 2 字符"/>
    <w:basedOn w:val="35"/>
    <w:link w:val="21"/>
    <w:qFormat/>
    <w:uiPriority w:val="99"/>
    <w:rPr>
      <w:rFonts w:ascii="Times New Roman" w:hAnsi="Times New Roman" w:eastAsia="宋体"/>
      <w:sz w:val="24"/>
    </w:rPr>
  </w:style>
  <w:style w:type="character" w:customStyle="1" w:styleId="37">
    <w:name w:val="标题 4 字符"/>
    <w:basedOn w:val="24"/>
    <w:link w:val="5"/>
    <w:semiHidden/>
    <w:qFormat/>
    <w:uiPriority w:val="9"/>
    <w:rPr>
      <w:rFonts w:asciiTheme="majorHAnsi" w:hAnsiTheme="majorHAnsi" w:eastAsiaTheme="majorEastAsia" w:cstheme="majorBidi"/>
      <w:b/>
      <w:bCs/>
      <w:spacing w:val="6"/>
      <w:kern w:val="0"/>
      <w:sz w:val="24"/>
      <w:szCs w:val="28"/>
      <w:lang w:eastAsia="en-US"/>
    </w:rPr>
  </w:style>
  <w:style w:type="character" w:customStyle="1" w:styleId="38">
    <w:name w:val="正文文本 字符"/>
    <w:basedOn w:val="24"/>
    <w:link w:val="7"/>
    <w:semiHidden/>
    <w:uiPriority w:val="99"/>
  </w:style>
  <w:style w:type="character" w:customStyle="1" w:styleId="39">
    <w:name w:val="正文文本首行缩进 字符"/>
    <w:basedOn w:val="38"/>
    <w:link w:val="20"/>
    <w:semiHidden/>
    <w:qFormat/>
    <w:uiPriority w:val="99"/>
    <w:rPr>
      <w:rFonts w:eastAsia="宋体"/>
      <w:sz w:val="24"/>
    </w:rPr>
  </w:style>
  <w:style w:type="character" w:customStyle="1" w:styleId="40">
    <w:name w:val="页脚 字符"/>
    <w:basedOn w:val="24"/>
    <w:link w:val="11"/>
    <w:qFormat/>
    <w:uiPriority w:val="99"/>
    <w:rPr>
      <w:rFonts w:ascii="宋体" w:hAnsi="Times New Roman" w:eastAsia="宋体" w:cs="Times New Roman"/>
      <w:kern w:val="0"/>
      <w:sz w:val="18"/>
      <w:szCs w:val="18"/>
    </w:rPr>
  </w:style>
  <w:style w:type="character" w:customStyle="1" w:styleId="41">
    <w:name w:val="页眉 字符"/>
    <w:basedOn w:val="24"/>
    <w:link w:val="12"/>
    <w:qFormat/>
    <w:uiPriority w:val="0"/>
    <w:rPr>
      <w:rFonts w:ascii="宋体" w:hAnsi="Times New Roman" w:eastAsia="宋体" w:cs="Times New Roman"/>
      <w:kern w:val="0"/>
      <w:sz w:val="18"/>
      <w:szCs w:val="18"/>
    </w:rPr>
  </w:style>
  <w:style w:type="paragraph" w:customStyle="1" w:styleId="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45">
    <w:name w:val="发布"/>
    <w:qFormat/>
    <w:uiPriority w:val="0"/>
    <w:rPr>
      <w:rFonts w:ascii="黑体" w:eastAsia="黑体"/>
      <w:spacing w:val="85"/>
      <w:w w:val="100"/>
      <w:position w:val="3"/>
      <w:sz w:val="28"/>
      <w:szCs w:val="28"/>
    </w:rPr>
  </w:style>
  <w:style w:type="paragraph" w:customStyle="1" w:styleId="4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7">
    <w:name w:val="封面标准英文名称"/>
    <w:basedOn w:val="46"/>
    <w:qFormat/>
    <w:uiPriority w:val="0"/>
    <w:pPr>
      <w:framePr w:wrap="around"/>
      <w:spacing w:before="370" w:line="400" w:lineRule="exact"/>
    </w:pPr>
    <w:rPr>
      <w:rFonts w:ascii="Times New Roman"/>
      <w:sz w:val="28"/>
      <w:szCs w:val="28"/>
    </w:rPr>
  </w:style>
  <w:style w:type="paragraph" w:customStyle="1" w:styleId="48">
    <w:name w:val="封面一致性程度标识"/>
    <w:basedOn w:val="47"/>
    <w:qFormat/>
    <w:uiPriority w:val="0"/>
    <w:pPr>
      <w:framePr w:wrap="around"/>
      <w:spacing w:before="440"/>
    </w:pPr>
    <w:rPr>
      <w:rFonts w:ascii="宋体" w:eastAsia="宋体"/>
    </w:rPr>
  </w:style>
  <w:style w:type="paragraph" w:customStyle="1" w:styleId="49">
    <w:name w:val="封面正文"/>
    <w:qFormat/>
    <w:uiPriority w:val="0"/>
    <w:pPr>
      <w:jc w:val="both"/>
    </w:pPr>
    <w:rPr>
      <w:rFonts w:ascii="Times New Roman" w:hAnsi="Times New Roman" w:eastAsia="宋体" w:cs="Times New Roman"/>
      <w:lang w:val="en-US" w:eastAsia="zh-CN" w:bidi="ar-SA"/>
    </w:rPr>
  </w:style>
  <w:style w:type="paragraph" w:customStyle="1" w:styleId="5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1">
    <w:name w:val="TOC 标题1"/>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Cs w:val="32"/>
    </w:rPr>
  </w:style>
  <w:style w:type="paragraph" w:customStyle="1" w:styleId="52">
    <w:name w:val="列出段落1"/>
    <w:basedOn w:val="1"/>
    <w:qFormat/>
    <w:uiPriority w:val="0"/>
    <w:rPr>
      <w:rFonts w:ascii="Calibri" w:hAnsi="Calibri"/>
      <w:szCs w:val="22"/>
    </w:rPr>
  </w:style>
  <w:style w:type="paragraph" w:customStyle="1" w:styleId="53">
    <w:name w:val="附录的标题"/>
    <w:basedOn w:val="2"/>
    <w:link w:val="54"/>
    <w:qFormat/>
    <w:uiPriority w:val="0"/>
    <w:pPr>
      <w:keepNext w:val="0"/>
      <w:keepLines w:val="0"/>
      <w:tabs>
        <w:tab w:val="clear" w:pos="4201"/>
        <w:tab w:val="clear" w:pos="9298"/>
      </w:tabs>
      <w:autoSpaceDE/>
      <w:autoSpaceDN/>
      <w:spacing w:before="0" w:afterLines="150" w:line="276" w:lineRule="auto"/>
      <w:ind w:firstLine="0" w:firstLineChars="0"/>
      <w:jc w:val="center"/>
    </w:pPr>
    <w:rPr>
      <w:rFonts w:ascii="黑体" w:hAnsi="黑体"/>
      <w:b w:val="0"/>
      <w:bCs w:val="0"/>
      <w:kern w:val="0"/>
      <w:szCs w:val="21"/>
    </w:rPr>
  </w:style>
  <w:style w:type="character" w:customStyle="1" w:styleId="54">
    <w:name w:val="附录的标题 字符"/>
    <w:basedOn w:val="30"/>
    <w:link w:val="53"/>
    <w:qFormat/>
    <w:uiPriority w:val="0"/>
    <w:rPr>
      <w:rFonts w:ascii="黑体" w:hAnsi="黑体" w:eastAsia="黑体" w:cs="Times New Roman"/>
      <w:b w:val="0"/>
      <w:bCs w:val="0"/>
      <w:kern w:val="0"/>
      <w:szCs w:val="21"/>
    </w:rPr>
  </w:style>
  <w:style w:type="paragraph" w:customStyle="1" w:styleId="55">
    <w:name w:val="标准章1级"/>
    <w:basedOn w:val="2"/>
    <w:next w:val="21"/>
    <w:link w:val="57"/>
    <w:qFormat/>
    <w:uiPriority w:val="0"/>
    <w:pPr>
      <w:keepNext w:val="0"/>
      <w:keepLines w:val="0"/>
      <w:numPr>
        <w:ilvl w:val="0"/>
        <w:numId w:val="1"/>
      </w:numPr>
      <w:tabs>
        <w:tab w:val="clear" w:pos="4201"/>
        <w:tab w:val="clear" w:pos="9298"/>
      </w:tabs>
      <w:autoSpaceDE/>
      <w:autoSpaceDN/>
      <w:spacing w:before="50" w:beforeLines="50" w:after="50" w:afterLines="50"/>
      <w:ind w:left="0" w:firstLine="0" w:firstLineChars="0"/>
      <w:jc w:val="left"/>
    </w:pPr>
    <w:rPr>
      <w:rFonts w:ascii="黑体"/>
      <w:b w:val="0"/>
      <w:bCs w:val="0"/>
      <w:kern w:val="0"/>
      <w:szCs w:val="20"/>
    </w:rPr>
  </w:style>
  <w:style w:type="paragraph" w:customStyle="1" w:styleId="56">
    <w:name w:val="标准章2级"/>
    <w:basedOn w:val="55"/>
    <w:next w:val="1"/>
    <w:link w:val="59"/>
    <w:qFormat/>
    <w:uiPriority w:val="0"/>
    <w:pPr>
      <w:numPr>
        <w:ilvl w:val="1"/>
      </w:numPr>
    </w:pPr>
  </w:style>
  <w:style w:type="character" w:customStyle="1" w:styleId="57">
    <w:name w:val="标准章1级 字符"/>
    <w:basedOn w:val="30"/>
    <w:link w:val="55"/>
    <w:qFormat/>
    <w:uiPriority w:val="0"/>
    <w:rPr>
      <w:rFonts w:ascii="黑体" w:hAnsi="Times New Roman" w:eastAsia="黑体" w:cs="Times New Roman"/>
      <w:b w:val="0"/>
      <w:bCs w:val="0"/>
      <w:kern w:val="44"/>
      <w:sz w:val="21"/>
      <w:szCs w:val="44"/>
    </w:rPr>
  </w:style>
  <w:style w:type="paragraph" w:customStyle="1" w:styleId="58">
    <w:name w:val="标准章3级"/>
    <w:basedOn w:val="56"/>
    <w:next w:val="1"/>
    <w:link w:val="61"/>
    <w:qFormat/>
    <w:uiPriority w:val="0"/>
    <w:pPr>
      <w:numPr>
        <w:ilvl w:val="2"/>
      </w:numPr>
      <w:spacing w:beforeLines="0"/>
      <w:outlineLvl w:val="2"/>
    </w:pPr>
  </w:style>
  <w:style w:type="character" w:customStyle="1" w:styleId="59">
    <w:name w:val="标准章2级 字符"/>
    <w:basedOn w:val="57"/>
    <w:link w:val="56"/>
    <w:qFormat/>
    <w:uiPriority w:val="0"/>
    <w:rPr>
      <w:rFonts w:ascii="黑体" w:hAnsi="Times New Roman" w:eastAsia="黑体" w:cs="Times New Roman"/>
      <w:kern w:val="0"/>
      <w:sz w:val="21"/>
      <w:szCs w:val="20"/>
    </w:rPr>
  </w:style>
  <w:style w:type="paragraph" w:customStyle="1" w:styleId="60">
    <w:name w:val="标准章4级"/>
    <w:basedOn w:val="58"/>
    <w:next w:val="1"/>
    <w:link w:val="63"/>
    <w:qFormat/>
    <w:uiPriority w:val="0"/>
    <w:pPr>
      <w:numPr>
        <w:ilvl w:val="3"/>
      </w:numPr>
      <w:ind w:left="400" w:hanging="400" w:hangingChars="400"/>
    </w:pPr>
  </w:style>
  <w:style w:type="character" w:customStyle="1" w:styleId="61">
    <w:name w:val="标准章3级 字符"/>
    <w:basedOn w:val="59"/>
    <w:link w:val="58"/>
    <w:qFormat/>
    <w:uiPriority w:val="0"/>
    <w:rPr>
      <w:rFonts w:ascii="黑体" w:hAnsi="Times New Roman" w:eastAsia="黑体" w:cs="Times New Roman"/>
      <w:kern w:val="0"/>
      <w:sz w:val="21"/>
      <w:szCs w:val="20"/>
    </w:rPr>
  </w:style>
  <w:style w:type="paragraph" w:customStyle="1" w:styleId="62">
    <w:name w:val="标准章5级"/>
    <w:basedOn w:val="60"/>
    <w:next w:val="1"/>
    <w:link w:val="64"/>
    <w:qFormat/>
    <w:uiPriority w:val="0"/>
    <w:pPr>
      <w:numPr>
        <w:ilvl w:val="4"/>
      </w:numPr>
      <w:ind w:left="500" w:hanging="500" w:hangingChars="500"/>
    </w:pPr>
  </w:style>
  <w:style w:type="character" w:customStyle="1" w:styleId="63">
    <w:name w:val="标准章4级 字符"/>
    <w:basedOn w:val="61"/>
    <w:link w:val="60"/>
    <w:qFormat/>
    <w:uiPriority w:val="0"/>
    <w:rPr>
      <w:rFonts w:ascii="黑体" w:hAnsi="Times New Roman" w:eastAsia="黑体" w:cs="Times New Roman"/>
      <w:kern w:val="0"/>
      <w:sz w:val="21"/>
      <w:szCs w:val="20"/>
    </w:rPr>
  </w:style>
  <w:style w:type="character" w:customStyle="1" w:styleId="64">
    <w:name w:val="标准章5级 字符"/>
    <w:basedOn w:val="63"/>
    <w:link w:val="62"/>
    <w:qFormat/>
    <w:uiPriority w:val="0"/>
    <w:rPr>
      <w:rFonts w:ascii="黑体" w:hAnsi="Times New Roman" w:eastAsia="黑体" w:cs="Times New Roman"/>
      <w:kern w:val="0"/>
      <w:sz w:val="21"/>
      <w:szCs w:val="20"/>
    </w:rPr>
  </w:style>
  <w:style w:type="character" w:customStyle="1" w:styleId="65">
    <w:name w:val="批注框文本 字符"/>
    <w:basedOn w:val="24"/>
    <w:link w:val="10"/>
    <w:semiHidden/>
    <w:qFormat/>
    <w:uiPriority w:val="99"/>
    <w:rPr>
      <w:rFonts w:ascii="宋体" w:hAnsi="Times New Roman" w:eastAsia="宋体" w:cs="Times New Roman"/>
      <w:kern w:val="0"/>
      <w:sz w:val="18"/>
      <w:szCs w:val="18"/>
    </w:rPr>
  </w:style>
  <w:style w:type="character" w:customStyle="1" w:styleId="66">
    <w:name w:val="批注文字 字符"/>
    <w:basedOn w:val="24"/>
    <w:link w:val="6"/>
    <w:semiHidden/>
    <w:qFormat/>
    <w:uiPriority w:val="99"/>
    <w:rPr>
      <w:rFonts w:ascii="宋体" w:hAnsi="Times New Roman" w:eastAsia="宋体" w:cs="Times New Roman"/>
      <w:kern w:val="0"/>
      <w:szCs w:val="20"/>
    </w:rPr>
  </w:style>
  <w:style w:type="character" w:customStyle="1" w:styleId="67">
    <w:name w:val="批注主题 字符"/>
    <w:basedOn w:val="66"/>
    <w:link w:val="19"/>
    <w:semiHidden/>
    <w:qFormat/>
    <w:uiPriority w:val="99"/>
    <w:rPr>
      <w:rFonts w:ascii="宋体" w:hAnsi="Times New Roman" w:eastAsia="宋体" w:cs="Times New Roman"/>
      <w:b/>
      <w:bCs/>
      <w:kern w:val="0"/>
      <w:szCs w:val="20"/>
    </w:rPr>
  </w:style>
  <w:style w:type="paragraph" w:customStyle="1" w:styleId="68">
    <w:name w:val="修订1"/>
    <w:hidden/>
    <w:semiHidden/>
    <w:qFormat/>
    <w:uiPriority w:val="99"/>
    <w:rPr>
      <w:rFonts w:ascii="宋体" w:hAnsi="Times New Roman" w:eastAsia="宋体" w:cs="Times New Roman"/>
      <w:sz w:val="21"/>
      <w:lang w:val="en-US" w:eastAsia="zh-CN" w:bidi="ar-SA"/>
    </w:rPr>
  </w:style>
  <w:style w:type="character" w:customStyle="1" w:styleId="69">
    <w:name w:val="未处理的提及1"/>
    <w:basedOn w:val="24"/>
    <w:semiHidden/>
    <w:unhideWhenUsed/>
    <w:qFormat/>
    <w:uiPriority w:val="99"/>
    <w:rPr>
      <w:color w:val="605E5C"/>
      <w:shd w:val="clear" w:color="auto" w:fill="E1DFDD"/>
    </w:rPr>
  </w:style>
  <w:style w:type="paragraph" w:customStyle="1" w:styleId="70">
    <w:name w:val="修订2"/>
    <w:hidden/>
    <w:semiHidden/>
    <w:qFormat/>
    <w:uiPriority w:val="99"/>
    <w:rPr>
      <w:rFonts w:ascii="宋体" w:hAnsi="Times New Roman" w:eastAsia="宋体" w:cs="Times New Roman"/>
      <w:sz w:val="21"/>
      <w:lang w:val="en-US" w:eastAsia="zh-CN" w:bidi="ar-SA"/>
    </w:rPr>
  </w:style>
  <w:style w:type="character" w:customStyle="1" w:styleId="71">
    <w:name w:val="脚注文本 字符"/>
    <w:basedOn w:val="24"/>
    <w:link w:val="15"/>
    <w:semiHidden/>
    <w:qFormat/>
    <w:uiPriority w:val="99"/>
    <w:rPr>
      <w:rFonts w:ascii="宋体" w:hAnsi="Times New Roman" w:eastAsia="宋体" w:cs="Times New Roman"/>
      <w:sz w:val="18"/>
      <w:szCs w:val="18"/>
    </w:rPr>
  </w:style>
  <w:style w:type="table" w:customStyle="1" w:styleId="72">
    <w:name w:val="网格型1"/>
    <w:basedOn w:val="22"/>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3">
    <w:name w:val="List Paragraph"/>
    <w:basedOn w:val="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CC602-CA29-431B-8CB4-89CFE10B2C3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4675</Words>
  <Characters>6565</Characters>
  <Lines>61</Lines>
  <Paragraphs>17</Paragraphs>
  <TotalTime>34</TotalTime>
  <ScaleCrop>false</ScaleCrop>
  <LinksUpToDate>false</LinksUpToDate>
  <CharactersWithSpaces>7039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2024-09-24T07:23:00Z</dcterms:created>
  <dc:creator>广东省中医药学会;Jake</dc:creator>
  <cp:lastModifiedBy>陈文嘉</cp:lastModifiedBy>
  <cp:lastPrinted>2023-04-22T08:48:00Z</cp:lastPrinted>
  <dcterms:modified xsi:type="dcterms:W3CDTF">2025-04-24T03:48:58Z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367280940C3547068AF04110B941F9FC_13</vt:lpwstr>
  </property>
  <property fmtid="{D5CDD505-2E9C-101B-9397-08002B2CF9AE}" pid="4" name="KSOTemplateDocerSaveRecord">
    <vt:lpwstr>eyJoZGlkIjoiOTZmN2FkNTI0YjcyNDEyYzAxMDE0ZTVkNzlhMWY3YmMiLCJ1c2VySWQiOiI0NTc1OTY5MzgifQ==</vt:lpwstr>
  </property>
</Properties>
</file>